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ADBB6" w14:textId="77777777" w:rsidR="00391ED5" w:rsidRDefault="00770F9F" w:rsidP="002509DF">
      <w:pPr>
        <w:pStyle w:val="Tytu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391ED5">
        <w:rPr>
          <w:rFonts w:ascii="Times New Roman" w:hAnsi="Times New Roman" w:cs="Times New Roman"/>
          <w:b/>
          <w:sz w:val="28"/>
          <w:szCs w:val="22"/>
        </w:rPr>
        <w:t xml:space="preserve">polityka </w:t>
      </w:r>
      <w:r w:rsidR="002509DF" w:rsidRPr="00391ED5">
        <w:rPr>
          <w:rFonts w:ascii="Times New Roman" w:hAnsi="Times New Roman" w:cs="Times New Roman"/>
          <w:b/>
          <w:sz w:val="28"/>
          <w:szCs w:val="22"/>
        </w:rPr>
        <w:t xml:space="preserve">dostępności </w:t>
      </w:r>
    </w:p>
    <w:p w14:paraId="2731CF83" w14:textId="04B89A0F" w:rsidR="00770F9F" w:rsidRPr="00391ED5" w:rsidRDefault="00391ED5" w:rsidP="002509DF">
      <w:pPr>
        <w:pStyle w:val="Tytu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W </w:t>
      </w:r>
      <w:r w:rsidR="00706C8F" w:rsidRPr="00391ED5">
        <w:rPr>
          <w:rFonts w:ascii="Times New Roman" w:hAnsi="Times New Roman" w:cs="Times New Roman"/>
          <w:b/>
          <w:sz w:val="28"/>
          <w:szCs w:val="22"/>
        </w:rPr>
        <w:t>SZKOLE PODSTAWOWEJ NR 37 Z ODDZIAŁAMI DWUJĘZYCZNYMI IM. K. MAKUSZYŃSKIEGO W TYCHACH</w:t>
      </w:r>
    </w:p>
    <w:p w14:paraId="41A6AA73" w14:textId="698E2A2C" w:rsidR="002509DF" w:rsidRPr="00391ED5" w:rsidRDefault="002509DF" w:rsidP="002509DF">
      <w:pPr>
        <w:rPr>
          <w:rFonts w:ascii="Times New Roman" w:hAnsi="Times New Roman" w:cs="Times New Roman"/>
          <w:b/>
          <w:sz w:val="28"/>
        </w:rPr>
      </w:pPr>
    </w:p>
    <w:p w14:paraId="17914315" w14:textId="3D52A933" w:rsidR="00770F9F" w:rsidRPr="00391ED5" w:rsidRDefault="00770F9F" w:rsidP="00770F9F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391ED5">
        <w:rPr>
          <w:rFonts w:ascii="Times New Roman" w:hAnsi="Times New Roman" w:cs="Times New Roman"/>
          <w:b/>
          <w:sz w:val="22"/>
          <w:szCs w:val="22"/>
        </w:rPr>
        <w:t xml:space="preserve">Wstęp </w:t>
      </w:r>
    </w:p>
    <w:p w14:paraId="0B4C60AB" w14:textId="422DEB5F" w:rsidR="00796FDE" w:rsidRPr="006C0EB3" w:rsidRDefault="00343665" w:rsidP="00770F9F">
      <w:pPr>
        <w:spacing w:after="110"/>
        <w:ind w:left="-5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Niniejsza polityka określa zasady dostosowania dostępności </w:t>
      </w:r>
      <w:r w:rsidR="00C13725" w:rsidRPr="006C0EB3">
        <w:rPr>
          <w:rFonts w:ascii="Times New Roman" w:hAnsi="Times New Roman" w:cs="Times New Roman"/>
        </w:rPr>
        <w:t xml:space="preserve">cyfrowej i architektonicznej dla </w:t>
      </w:r>
      <w:r w:rsidR="00706C8F" w:rsidRPr="006C0EB3">
        <w:rPr>
          <w:rFonts w:ascii="Times New Roman" w:hAnsi="Times New Roman" w:cs="Times New Roman"/>
        </w:rPr>
        <w:t>Szkoły Podsta</w:t>
      </w:r>
      <w:r w:rsidR="00391ED5">
        <w:rPr>
          <w:rFonts w:ascii="Times New Roman" w:hAnsi="Times New Roman" w:cs="Times New Roman"/>
        </w:rPr>
        <w:t>wowej nr 37 z Oddziałami Dwu</w:t>
      </w:r>
      <w:r w:rsidR="00706C8F" w:rsidRPr="006C0EB3">
        <w:rPr>
          <w:rFonts w:ascii="Times New Roman" w:hAnsi="Times New Roman" w:cs="Times New Roman"/>
        </w:rPr>
        <w:t>języcznymi im. K. Makuszyń</w:t>
      </w:r>
      <w:r w:rsidR="005E668D">
        <w:rPr>
          <w:rFonts w:ascii="Times New Roman" w:hAnsi="Times New Roman" w:cs="Times New Roman"/>
        </w:rPr>
        <w:t>s</w:t>
      </w:r>
      <w:r w:rsidR="00706C8F" w:rsidRPr="006C0EB3">
        <w:rPr>
          <w:rFonts w:ascii="Times New Roman" w:hAnsi="Times New Roman" w:cs="Times New Roman"/>
        </w:rPr>
        <w:t>kiego w Tychach</w:t>
      </w:r>
      <w:r w:rsidR="00C13725" w:rsidRPr="006C0EB3">
        <w:rPr>
          <w:rFonts w:ascii="Times New Roman" w:hAnsi="Times New Roman" w:cs="Times New Roman"/>
        </w:rPr>
        <w:t xml:space="preserve"> zwanej dalej „Placówka”.  </w:t>
      </w:r>
    </w:p>
    <w:p w14:paraId="4557E7DD" w14:textId="76DC56B2" w:rsidR="00343665" w:rsidRPr="006C0EB3" w:rsidRDefault="00343665" w:rsidP="00770F9F">
      <w:pPr>
        <w:spacing w:after="110"/>
        <w:ind w:left="-5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Polityka funkcjonuje na podstawie Ustawy z dnia 19 lipca 2019r. o zapewnianiu dostępności osobom ze szczególnymi potrzebami</w:t>
      </w:r>
      <w:r w:rsidR="00B848D6" w:rsidRPr="006C0EB3">
        <w:rPr>
          <w:rFonts w:ascii="Times New Roman" w:hAnsi="Times New Roman" w:cs="Times New Roman"/>
        </w:rPr>
        <w:t>.</w:t>
      </w:r>
    </w:p>
    <w:p w14:paraId="3AC7454F" w14:textId="787A6A49" w:rsidR="00770F9F" w:rsidRPr="006C0EB3" w:rsidRDefault="00770F9F" w:rsidP="00770F9F">
      <w:pPr>
        <w:spacing w:after="110"/>
        <w:ind w:left="-5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Dostępność to właściwość środowiska (przestrzeni fizycznej, rzeczywistości cyfrowej, systemów informacyjno-komunikacyjnych, produktów i usług), która pozwala osobom z ograniczeniami funkcjonalnymi (fizycznymi i poznawczymi) na korzystanie z niego na zasadzie równości z innymi. </w:t>
      </w:r>
    </w:p>
    <w:p w14:paraId="547FECEC" w14:textId="77777777" w:rsidR="00770F9F" w:rsidRPr="006C0EB3" w:rsidRDefault="00770F9F" w:rsidP="00770F9F">
      <w:pPr>
        <w:spacing w:after="110"/>
        <w:ind w:left="-5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Dostępność dotyczy w szczególności osób:  </w:t>
      </w:r>
    </w:p>
    <w:p w14:paraId="4AB0ECAE" w14:textId="6142F0EE" w:rsidR="00770F9F" w:rsidRPr="006C0EB3" w:rsidRDefault="00770F9F" w:rsidP="00770F9F">
      <w:pPr>
        <w:pStyle w:val="Akapitzlist"/>
        <w:numPr>
          <w:ilvl w:val="0"/>
          <w:numId w:val="1"/>
        </w:num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na wózkach inwalidzkich, poruszających się o kulach i o ograniczonej możliwości poruszania się, </w:t>
      </w:r>
    </w:p>
    <w:p w14:paraId="0074ABFA" w14:textId="0D642238" w:rsidR="00770F9F" w:rsidRPr="006C0EB3" w:rsidRDefault="00770F9F" w:rsidP="00770F9F">
      <w:pPr>
        <w:pStyle w:val="Akapitzlist"/>
        <w:numPr>
          <w:ilvl w:val="0"/>
          <w:numId w:val="1"/>
        </w:num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niewidomych i słabowidzących, </w:t>
      </w:r>
    </w:p>
    <w:p w14:paraId="16F6445B" w14:textId="7DEFA8BA" w:rsidR="00770F9F" w:rsidRPr="006C0EB3" w:rsidRDefault="00AD69F8" w:rsidP="00770F9F">
      <w:pPr>
        <w:pStyle w:val="Akapitzlist"/>
        <w:numPr>
          <w:ilvl w:val="0"/>
          <w:numId w:val="1"/>
        </w:num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g</w:t>
      </w:r>
      <w:r w:rsidR="00770F9F" w:rsidRPr="006C0EB3">
        <w:rPr>
          <w:rFonts w:ascii="Times New Roman" w:hAnsi="Times New Roman" w:cs="Times New Roman"/>
        </w:rPr>
        <w:t xml:space="preserve">łuchych i słabosłyszących, </w:t>
      </w:r>
    </w:p>
    <w:p w14:paraId="00A902D2" w14:textId="33B4D8A4" w:rsidR="00770F9F" w:rsidRPr="006C0EB3" w:rsidRDefault="00AD69F8" w:rsidP="00770F9F">
      <w:pPr>
        <w:pStyle w:val="Akapitzlist"/>
        <w:numPr>
          <w:ilvl w:val="0"/>
          <w:numId w:val="1"/>
        </w:num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g</w:t>
      </w:r>
      <w:r w:rsidR="00770F9F" w:rsidRPr="006C0EB3">
        <w:rPr>
          <w:rFonts w:ascii="Times New Roman" w:hAnsi="Times New Roman" w:cs="Times New Roman"/>
        </w:rPr>
        <w:t xml:space="preserve">łuchoniewidomych, </w:t>
      </w:r>
    </w:p>
    <w:p w14:paraId="6EDDF443" w14:textId="64ED9532" w:rsidR="00770F9F" w:rsidRPr="006C0EB3" w:rsidRDefault="00770F9F" w:rsidP="00770F9F">
      <w:pPr>
        <w:pStyle w:val="Akapitzlist"/>
        <w:numPr>
          <w:ilvl w:val="0"/>
          <w:numId w:val="1"/>
        </w:num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z niepełnosprawnościami psychicznymi i intelektualnymi,  </w:t>
      </w:r>
    </w:p>
    <w:p w14:paraId="53F098DA" w14:textId="48847C18" w:rsidR="00770F9F" w:rsidRPr="006C0EB3" w:rsidRDefault="00770F9F" w:rsidP="00770F9F">
      <w:pPr>
        <w:pStyle w:val="Akapitzlist"/>
        <w:numPr>
          <w:ilvl w:val="0"/>
          <w:numId w:val="1"/>
        </w:num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starszych i osłabionych chorobami, </w:t>
      </w:r>
    </w:p>
    <w:p w14:paraId="5024BD2F" w14:textId="241D6B2F" w:rsidR="00770F9F" w:rsidRPr="006C0EB3" w:rsidRDefault="00770F9F" w:rsidP="00770F9F">
      <w:pPr>
        <w:pStyle w:val="Akapitzlist"/>
        <w:numPr>
          <w:ilvl w:val="0"/>
          <w:numId w:val="1"/>
        </w:num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z małymi dziećmi, w tym z wózkami dziecięcymi, </w:t>
      </w:r>
    </w:p>
    <w:p w14:paraId="2C7A93AF" w14:textId="4B17F3AC" w:rsidR="00770F9F" w:rsidRPr="006C0EB3" w:rsidRDefault="00770F9F" w:rsidP="00770F9F">
      <w:pPr>
        <w:pStyle w:val="Akapitzlist"/>
        <w:numPr>
          <w:ilvl w:val="0"/>
          <w:numId w:val="1"/>
        </w:num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mających trudności w komunikowaniu się z otoczeniem (także z rozumieniem języka pisanego albo mówionego), </w:t>
      </w:r>
    </w:p>
    <w:p w14:paraId="74FC0042" w14:textId="0DB2F83E" w:rsidR="00770F9F" w:rsidRPr="006C0EB3" w:rsidRDefault="00770F9F" w:rsidP="00770F9F">
      <w:pPr>
        <w:pStyle w:val="Akapitzlist"/>
        <w:numPr>
          <w:ilvl w:val="0"/>
          <w:numId w:val="1"/>
        </w:num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nietypowym wzroście (w tym również dzieci), </w:t>
      </w:r>
    </w:p>
    <w:p w14:paraId="1FCEF738" w14:textId="77777777" w:rsidR="00770F9F" w:rsidRPr="006C0EB3" w:rsidRDefault="00770F9F" w:rsidP="00770F9F">
      <w:pPr>
        <w:pStyle w:val="Akapitzlist"/>
        <w:numPr>
          <w:ilvl w:val="0"/>
          <w:numId w:val="1"/>
        </w:num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z ciężkim lub nieporęcznym bagażem, towarem, </w:t>
      </w:r>
    </w:p>
    <w:p w14:paraId="6E782407" w14:textId="3BE7DFB9" w:rsidR="00770F9F" w:rsidRPr="006C0EB3" w:rsidRDefault="00770F9F" w:rsidP="00770F9F">
      <w:pPr>
        <w:pStyle w:val="Akapitzlist"/>
        <w:numPr>
          <w:ilvl w:val="0"/>
          <w:numId w:val="1"/>
        </w:num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kobiet w ciąży</w:t>
      </w:r>
      <w:r w:rsidR="00AD69F8" w:rsidRPr="006C0EB3">
        <w:rPr>
          <w:rFonts w:ascii="Times New Roman" w:hAnsi="Times New Roman" w:cs="Times New Roman"/>
        </w:rPr>
        <w:t>.</w:t>
      </w:r>
    </w:p>
    <w:p w14:paraId="17AC7B83" w14:textId="2D34CCDE" w:rsidR="002509DF" w:rsidRPr="006C0EB3" w:rsidRDefault="002509DF" w:rsidP="002509DF">
      <w:pPr>
        <w:spacing w:after="110"/>
        <w:jc w:val="both"/>
        <w:rPr>
          <w:rFonts w:ascii="Times New Roman" w:hAnsi="Times New Roman" w:cs="Times New Roman"/>
        </w:rPr>
      </w:pPr>
    </w:p>
    <w:p w14:paraId="7D5F8B3A" w14:textId="497E955F" w:rsidR="002509DF" w:rsidRPr="006C0EB3" w:rsidRDefault="002509DF" w:rsidP="002509DF">
      <w:p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Przyjęta Polityka dostępności stanowi wytyczne do realizacji zadań placówki zgodnie z przepisami prawa odnoszącymi się do potrzeb osób z niepełnosprawnościami. </w:t>
      </w:r>
    </w:p>
    <w:p w14:paraId="18353D33" w14:textId="62F74616" w:rsidR="00AD69F8" w:rsidRPr="006C0EB3" w:rsidRDefault="00363795" w:rsidP="003E7221">
      <w:pPr>
        <w:spacing w:after="110"/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Osobą odpowiedzialną w placówce za dostępność oraz rozpatrującą wnioski i zażalenia jest Dyrektor Placówki. </w:t>
      </w:r>
    </w:p>
    <w:p w14:paraId="59B395A9" w14:textId="77777777" w:rsidR="002509DF" w:rsidRPr="006C0EB3" w:rsidRDefault="002509DF" w:rsidP="002509DF">
      <w:pPr>
        <w:spacing w:after="110"/>
        <w:jc w:val="both"/>
        <w:rPr>
          <w:rFonts w:ascii="Times New Roman" w:hAnsi="Times New Roman" w:cs="Times New Roman"/>
        </w:rPr>
      </w:pPr>
    </w:p>
    <w:p w14:paraId="257A10E5" w14:textId="43CA328F" w:rsidR="002509DF" w:rsidRPr="00391ED5" w:rsidRDefault="002509DF" w:rsidP="002509DF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391ED5">
        <w:rPr>
          <w:rFonts w:ascii="Times New Roman" w:hAnsi="Times New Roman" w:cs="Times New Roman"/>
          <w:b/>
          <w:sz w:val="22"/>
          <w:szCs w:val="22"/>
        </w:rPr>
        <w:t>dostępność architektoniczna</w:t>
      </w:r>
      <w:r w:rsidR="004D4E9A" w:rsidRPr="00391ED5">
        <w:rPr>
          <w:rFonts w:ascii="Times New Roman" w:hAnsi="Times New Roman" w:cs="Times New Roman"/>
          <w:b/>
          <w:sz w:val="22"/>
          <w:szCs w:val="22"/>
        </w:rPr>
        <w:t xml:space="preserve"> i świadczone udogodnienia</w:t>
      </w:r>
    </w:p>
    <w:p w14:paraId="0389A832" w14:textId="0E3265C4" w:rsidR="00CE40E3" w:rsidRPr="006C0EB3" w:rsidRDefault="0027718D" w:rsidP="00922A22">
      <w:p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Placówka dokłada wszelkich starań </w:t>
      </w:r>
      <w:r w:rsidR="002714F8" w:rsidRPr="006C0EB3">
        <w:rPr>
          <w:rFonts w:ascii="Times New Roman" w:hAnsi="Times New Roman" w:cs="Times New Roman"/>
        </w:rPr>
        <w:t>dla zapewnienia pełnej dostęp</w:t>
      </w:r>
      <w:r w:rsidR="00B848D6" w:rsidRPr="006C0EB3">
        <w:rPr>
          <w:rFonts w:ascii="Times New Roman" w:hAnsi="Times New Roman" w:cs="Times New Roman"/>
        </w:rPr>
        <w:t>ności użytkowanych budynków dla </w:t>
      </w:r>
      <w:r w:rsidR="002714F8" w:rsidRPr="006C0EB3">
        <w:rPr>
          <w:rFonts w:ascii="Times New Roman" w:hAnsi="Times New Roman" w:cs="Times New Roman"/>
        </w:rPr>
        <w:t xml:space="preserve">osób ze szczególnymi potrzebami. Ze wzglądu na ograniczenia architektoniczne, które nie są </w:t>
      </w:r>
      <w:r w:rsidR="00DB2FD5" w:rsidRPr="006C0EB3">
        <w:rPr>
          <w:rFonts w:ascii="Times New Roman" w:hAnsi="Times New Roman" w:cs="Times New Roman"/>
        </w:rPr>
        <w:t xml:space="preserve">możliwe do zmiany lub modyfikacji dostępność ta może być ograniczona. </w:t>
      </w:r>
      <w:r w:rsidR="002714F8" w:rsidRPr="006C0EB3">
        <w:rPr>
          <w:rFonts w:ascii="Times New Roman" w:hAnsi="Times New Roman" w:cs="Times New Roman"/>
        </w:rPr>
        <w:t xml:space="preserve"> </w:t>
      </w:r>
    </w:p>
    <w:p w14:paraId="5F015E4B" w14:textId="7489771A" w:rsidR="0003374C" w:rsidRPr="006C0EB3" w:rsidRDefault="00CE40E3" w:rsidP="0003374C">
      <w:p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Stosowane udogodnienia dotyczą w szczególności</w:t>
      </w:r>
      <w:r w:rsidR="0003374C" w:rsidRPr="006C0EB3">
        <w:rPr>
          <w:rFonts w:ascii="Times New Roman" w:hAnsi="Times New Roman" w:cs="Times New Roman"/>
        </w:rPr>
        <w:t>:</w:t>
      </w:r>
    </w:p>
    <w:p w14:paraId="5237C21B" w14:textId="47009076" w:rsidR="00BC6C82" w:rsidRPr="006C0EB3" w:rsidRDefault="001B2F25" w:rsidP="00922A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Istnieje możliwość wejścia do placówki dla osób z </w:t>
      </w:r>
      <w:r w:rsidR="00E7036E" w:rsidRPr="006C0EB3">
        <w:rPr>
          <w:rFonts w:ascii="Times New Roman" w:hAnsi="Times New Roman" w:cs="Times New Roman"/>
        </w:rPr>
        <w:t>niepeł</w:t>
      </w:r>
      <w:r w:rsidR="00A36346">
        <w:rPr>
          <w:rFonts w:ascii="Times New Roman" w:hAnsi="Times New Roman" w:cs="Times New Roman"/>
        </w:rPr>
        <w:t>nosprawnością.</w:t>
      </w:r>
    </w:p>
    <w:p w14:paraId="517D22CD" w14:textId="7951CD23" w:rsidR="0003374C" w:rsidRPr="006C0EB3" w:rsidRDefault="002509DF" w:rsidP="00922A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Główne ciągi komunikacyjne umożliwiają obsługę osób poruszających się na wózku inwalidzkim poprzez zapewnienie trasy wolnej od przeszkód o minimalnej szerokości 120 cm i powierzchni manewrowej (min. 150x150 cm). </w:t>
      </w:r>
    </w:p>
    <w:p w14:paraId="187D8C29" w14:textId="77777777" w:rsidR="0003374C" w:rsidRPr="006C0EB3" w:rsidRDefault="002509DF" w:rsidP="00922A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lastRenderedPageBreak/>
        <w:t>Punkt kancelaryjny, sekretariat lub recepcja, na których następuje pierwszy kontakt powinny znajd</w:t>
      </w:r>
      <w:r w:rsidR="0003374C" w:rsidRPr="006C0EB3">
        <w:rPr>
          <w:rFonts w:ascii="Times New Roman" w:hAnsi="Times New Roman" w:cs="Times New Roman"/>
        </w:rPr>
        <w:t>ują</w:t>
      </w:r>
      <w:r w:rsidRPr="006C0EB3">
        <w:rPr>
          <w:rFonts w:ascii="Times New Roman" w:hAnsi="Times New Roman" w:cs="Times New Roman"/>
        </w:rPr>
        <w:t xml:space="preserve"> się możliwie blisko głównych ciągów komunikacyjnych, w pobliżu wejścia. </w:t>
      </w:r>
    </w:p>
    <w:p w14:paraId="0412C2D7" w14:textId="77777777" w:rsidR="0003374C" w:rsidRPr="006C0EB3" w:rsidRDefault="002509DF" w:rsidP="00922A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Stosowane oświetlenie umożliwia osobom niesłyszącym czytanie z ruchu ust. </w:t>
      </w:r>
    </w:p>
    <w:p w14:paraId="5CBF53C2" w14:textId="23FDC451" w:rsidR="0003374C" w:rsidRPr="006C0EB3" w:rsidRDefault="00DD2869" w:rsidP="00922A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Lady w</w:t>
      </w:r>
      <w:r w:rsidR="002509DF" w:rsidRPr="006C0EB3">
        <w:rPr>
          <w:rFonts w:ascii="Times New Roman" w:hAnsi="Times New Roman" w:cs="Times New Roman"/>
        </w:rPr>
        <w:t xml:space="preserve"> sekretariacie </w:t>
      </w:r>
      <w:r w:rsidR="0003374C" w:rsidRPr="006C0EB3">
        <w:rPr>
          <w:rFonts w:ascii="Times New Roman" w:hAnsi="Times New Roman" w:cs="Times New Roman"/>
        </w:rPr>
        <w:t>z</w:t>
      </w:r>
      <w:r w:rsidR="002509DF" w:rsidRPr="006C0EB3">
        <w:rPr>
          <w:rFonts w:ascii="Times New Roman" w:hAnsi="Times New Roman" w:cs="Times New Roman"/>
        </w:rPr>
        <w:t>najd</w:t>
      </w:r>
      <w:r w:rsidR="0003374C" w:rsidRPr="006C0EB3">
        <w:rPr>
          <w:rFonts w:ascii="Times New Roman" w:hAnsi="Times New Roman" w:cs="Times New Roman"/>
        </w:rPr>
        <w:t>ują</w:t>
      </w:r>
      <w:r w:rsidR="002509DF" w:rsidRPr="006C0EB3">
        <w:rPr>
          <w:rFonts w:ascii="Times New Roman" w:hAnsi="Times New Roman" w:cs="Times New Roman"/>
        </w:rPr>
        <w:t xml:space="preserve"> się </w:t>
      </w:r>
      <w:r w:rsidR="00C50626" w:rsidRPr="006C0EB3">
        <w:rPr>
          <w:rFonts w:ascii="Times New Roman" w:hAnsi="Times New Roman" w:cs="Times New Roman"/>
        </w:rPr>
        <w:t>nie wyżej niż 90 cm od posadzki, aby zapewnić widoczność osobom na wózkach inwalidzkich</w:t>
      </w:r>
      <w:r w:rsidR="0003374C" w:rsidRPr="006C0EB3">
        <w:rPr>
          <w:rFonts w:ascii="Times New Roman" w:hAnsi="Times New Roman" w:cs="Times New Roman"/>
        </w:rPr>
        <w:t>.</w:t>
      </w:r>
    </w:p>
    <w:p w14:paraId="14CBFCB0" w14:textId="641CCF86" w:rsidR="001F6DAA" w:rsidRPr="006C0EB3" w:rsidRDefault="00DD2869" w:rsidP="002509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</w:t>
      </w:r>
      <w:r w:rsidR="0003374C" w:rsidRPr="006C0EB3">
        <w:rPr>
          <w:rFonts w:ascii="Times New Roman" w:hAnsi="Times New Roman" w:cs="Times New Roman"/>
        </w:rPr>
        <w:t>sekretariatu</w:t>
      </w:r>
      <w:r w:rsidR="00C50626" w:rsidRPr="006C0EB3">
        <w:rPr>
          <w:rFonts w:ascii="Times New Roman" w:hAnsi="Times New Roman" w:cs="Times New Roman"/>
        </w:rPr>
        <w:t xml:space="preserve"> wychodz</w:t>
      </w:r>
      <w:r w:rsidR="0003374C" w:rsidRPr="006C0EB3">
        <w:rPr>
          <w:rFonts w:ascii="Times New Roman" w:hAnsi="Times New Roman" w:cs="Times New Roman"/>
        </w:rPr>
        <w:t>ą</w:t>
      </w:r>
      <w:r w:rsidR="00C50626" w:rsidRPr="006C0EB3">
        <w:rPr>
          <w:rFonts w:ascii="Times New Roman" w:hAnsi="Times New Roman" w:cs="Times New Roman"/>
        </w:rPr>
        <w:t xml:space="preserve"> z inicjatywą </w:t>
      </w:r>
      <w:r w:rsidR="00D95E23">
        <w:rPr>
          <w:rFonts w:ascii="Times New Roman" w:hAnsi="Times New Roman" w:cs="Times New Roman"/>
        </w:rPr>
        <w:t>nawiązania kontaktu z osobami o </w:t>
      </w:r>
      <w:r w:rsidR="00C50626" w:rsidRPr="006C0EB3">
        <w:rPr>
          <w:rFonts w:ascii="Times New Roman" w:hAnsi="Times New Roman" w:cs="Times New Roman"/>
        </w:rPr>
        <w:t>szczególnych potrzebach, zwłaszcza w przypadku osób st</w:t>
      </w:r>
      <w:r w:rsidR="00D95E23">
        <w:rPr>
          <w:rFonts w:ascii="Times New Roman" w:hAnsi="Times New Roman" w:cs="Times New Roman"/>
        </w:rPr>
        <w:t>arszych, kobiet w ciąży, osób z </w:t>
      </w:r>
      <w:r w:rsidR="00C50626" w:rsidRPr="006C0EB3">
        <w:rPr>
          <w:rFonts w:ascii="Times New Roman" w:hAnsi="Times New Roman" w:cs="Times New Roman"/>
        </w:rPr>
        <w:t>dziećmi do lat 4, osób poruszających się z białą laską lub z psem przewodnikiem, które wchodzą do budynku, aby pokierować ich do odpowiednich osób.</w:t>
      </w:r>
    </w:p>
    <w:p w14:paraId="368CE14C" w14:textId="112380D3" w:rsidR="00896A42" w:rsidRPr="006C0EB3" w:rsidRDefault="00896A42" w:rsidP="002509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Placówka dysponuje toaletą dostosowaną do osób niepełnosprawnych.</w:t>
      </w:r>
    </w:p>
    <w:p w14:paraId="7E0DAC3C" w14:textId="4C64152B" w:rsidR="00C50626" w:rsidRPr="006C0EB3" w:rsidRDefault="00C50626" w:rsidP="002509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Zapewniona jest możliwość przyjścia do placówki z psem przewodnikiem bez konieczności wcześniejszego zgłoszenia.</w:t>
      </w:r>
    </w:p>
    <w:p w14:paraId="7F3B799B" w14:textId="18CEF2D2" w:rsidR="00A73C3B" w:rsidRPr="006C0EB3" w:rsidRDefault="002D29B9" w:rsidP="002509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W okolicach placówki dostępny jest parking z wyznaczonymi miejscami dla osób niepełnosprawnych. </w:t>
      </w:r>
    </w:p>
    <w:p w14:paraId="7895EE96" w14:textId="4EF2ED49" w:rsidR="005F6136" w:rsidRPr="006C0EB3" w:rsidRDefault="00001E6E" w:rsidP="00EA38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Kolorystyka </w:t>
      </w:r>
      <w:r w:rsidR="00176480" w:rsidRPr="006C0EB3">
        <w:rPr>
          <w:rFonts w:ascii="Times New Roman" w:hAnsi="Times New Roman" w:cs="Times New Roman"/>
        </w:rPr>
        <w:t>wewnętrzna budynku</w:t>
      </w:r>
      <w:r w:rsidR="00D5234C" w:rsidRPr="006C0EB3">
        <w:rPr>
          <w:rFonts w:ascii="Times New Roman" w:hAnsi="Times New Roman" w:cs="Times New Roman"/>
        </w:rPr>
        <w:t>, aranżacje i wykończenia są</w:t>
      </w:r>
      <w:r w:rsidR="00176480" w:rsidRPr="006C0EB3">
        <w:rPr>
          <w:rFonts w:ascii="Times New Roman" w:hAnsi="Times New Roman" w:cs="Times New Roman"/>
        </w:rPr>
        <w:t xml:space="preserve"> neutraln</w:t>
      </w:r>
      <w:r w:rsidR="00D5234C" w:rsidRPr="006C0EB3">
        <w:rPr>
          <w:rFonts w:ascii="Times New Roman" w:hAnsi="Times New Roman" w:cs="Times New Roman"/>
        </w:rPr>
        <w:t>e</w:t>
      </w:r>
      <w:r w:rsidR="00176480" w:rsidRPr="006C0EB3">
        <w:rPr>
          <w:rFonts w:ascii="Times New Roman" w:hAnsi="Times New Roman" w:cs="Times New Roman"/>
        </w:rPr>
        <w:t>.</w:t>
      </w:r>
    </w:p>
    <w:p w14:paraId="56462E6A" w14:textId="77777777" w:rsidR="00EA38D7" w:rsidRPr="006C0EB3" w:rsidRDefault="00EA38D7" w:rsidP="00EA38D7">
      <w:pPr>
        <w:pStyle w:val="Akapitzlist"/>
        <w:jc w:val="both"/>
        <w:rPr>
          <w:rFonts w:ascii="Times New Roman" w:hAnsi="Times New Roman" w:cs="Times New Roman"/>
        </w:rPr>
      </w:pPr>
    </w:p>
    <w:p w14:paraId="2B8C6019" w14:textId="7B516B08" w:rsidR="00C50626" w:rsidRPr="006C0EB3" w:rsidRDefault="004D4E9A" w:rsidP="00964A2C">
      <w:p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Zakres świadczonych udogodnień oraz występujących barier i utrudnień (również czasowych np. awaria windy) na bieżąco aktualizowane są w deklaracji dostępności na stronie internetowej placówki </w:t>
      </w:r>
      <w:r w:rsidR="00D43868" w:rsidRPr="006C0EB3">
        <w:rPr>
          <w:rFonts w:ascii="Times New Roman" w:hAnsi="Times New Roman" w:cs="Times New Roman"/>
        </w:rPr>
        <w:t>https://sp37tychy.edupage.org.</w:t>
      </w:r>
    </w:p>
    <w:p w14:paraId="0E639DA3" w14:textId="3FBF6AC4" w:rsidR="004D4E9A" w:rsidRPr="00391ED5" w:rsidRDefault="004D4E9A" w:rsidP="004D4E9A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391ED5">
        <w:rPr>
          <w:rFonts w:ascii="Times New Roman" w:hAnsi="Times New Roman" w:cs="Times New Roman"/>
          <w:b/>
          <w:sz w:val="22"/>
          <w:szCs w:val="22"/>
        </w:rPr>
        <w:t xml:space="preserve">dostepność </w:t>
      </w:r>
      <w:r w:rsidR="00964A2C" w:rsidRPr="00391ED5">
        <w:rPr>
          <w:rFonts w:ascii="Times New Roman" w:hAnsi="Times New Roman" w:cs="Times New Roman"/>
          <w:b/>
          <w:sz w:val="22"/>
          <w:szCs w:val="22"/>
        </w:rPr>
        <w:t xml:space="preserve">CYFROWA - </w:t>
      </w:r>
      <w:r w:rsidRPr="00391ED5">
        <w:rPr>
          <w:rFonts w:ascii="Times New Roman" w:hAnsi="Times New Roman" w:cs="Times New Roman"/>
          <w:b/>
          <w:sz w:val="22"/>
          <w:szCs w:val="22"/>
        </w:rPr>
        <w:t>stron www</w:t>
      </w:r>
    </w:p>
    <w:p w14:paraId="4B4F24C1" w14:textId="1D7FA867" w:rsidR="004D4E9A" w:rsidRPr="006C0EB3" w:rsidRDefault="003C2DA5" w:rsidP="000F309C">
      <w:p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Placówka dąży do stanu w którym w</w:t>
      </w:r>
      <w:r w:rsidR="004D4E9A" w:rsidRPr="006C0EB3">
        <w:rPr>
          <w:rFonts w:ascii="Times New Roman" w:hAnsi="Times New Roman" w:cs="Times New Roman"/>
        </w:rPr>
        <w:t xml:space="preserve">szystkie strony internetowe </w:t>
      </w:r>
      <w:r w:rsidRPr="006C0EB3">
        <w:rPr>
          <w:rFonts w:ascii="Times New Roman" w:hAnsi="Times New Roman" w:cs="Times New Roman"/>
        </w:rPr>
        <w:t>(</w:t>
      </w:r>
      <w:r w:rsidR="004D4E9A" w:rsidRPr="006C0EB3">
        <w:rPr>
          <w:rFonts w:ascii="Times New Roman" w:hAnsi="Times New Roman" w:cs="Times New Roman"/>
        </w:rPr>
        <w:t>i aplikacje mobilne</w:t>
      </w:r>
      <w:r w:rsidRPr="006C0EB3">
        <w:rPr>
          <w:rFonts w:ascii="Times New Roman" w:hAnsi="Times New Roman" w:cs="Times New Roman"/>
        </w:rPr>
        <w:t>)</w:t>
      </w:r>
      <w:r w:rsidR="004D4E9A" w:rsidRPr="006C0EB3">
        <w:rPr>
          <w:rFonts w:ascii="Times New Roman" w:hAnsi="Times New Roman" w:cs="Times New Roman"/>
        </w:rPr>
        <w:t xml:space="preserve">, których </w:t>
      </w:r>
      <w:r w:rsidRPr="006C0EB3">
        <w:rPr>
          <w:rFonts w:ascii="Times New Roman" w:hAnsi="Times New Roman" w:cs="Times New Roman"/>
        </w:rPr>
        <w:t xml:space="preserve">jest </w:t>
      </w:r>
      <w:r w:rsidR="004D4E9A" w:rsidRPr="006C0EB3">
        <w:rPr>
          <w:rFonts w:ascii="Times New Roman" w:hAnsi="Times New Roman" w:cs="Times New Roman"/>
        </w:rPr>
        <w:t xml:space="preserve">właścicielem, </w:t>
      </w:r>
      <w:r w:rsidRPr="006C0EB3">
        <w:rPr>
          <w:rFonts w:ascii="Times New Roman" w:hAnsi="Times New Roman" w:cs="Times New Roman"/>
        </w:rPr>
        <w:t>będą</w:t>
      </w:r>
      <w:r w:rsidR="004D4E9A" w:rsidRPr="006C0EB3">
        <w:rPr>
          <w:rFonts w:ascii="Times New Roman" w:hAnsi="Times New Roman" w:cs="Times New Roman"/>
        </w:rPr>
        <w:t xml:space="preserve"> zgodne z WCAG 2.</w:t>
      </w:r>
      <w:r w:rsidR="00952081" w:rsidRPr="006C0EB3">
        <w:rPr>
          <w:rFonts w:ascii="Times New Roman" w:hAnsi="Times New Roman" w:cs="Times New Roman"/>
        </w:rPr>
        <w:t>1</w:t>
      </w:r>
      <w:r w:rsidR="004D4E9A" w:rsidRPr="006C0EB3">
        <w:rPr>
          <w:rFonts w:ascii="Times New Roman" w:hAnsi="Times New Roman" w:cs="Times New Roman"/>
          <w:vertAlign w:val="superscript"/>
        </w:rPr>
        <w:footnoteReference w:id="1"/>
      </w:r>
      <w:r w:rsidR="004D4E9A" w:rsidRPr="006C0EB3">
        <w:rPr>
          <w:rFonts w:ascii="Times New Roman" w:hAnsi="Times New Roman" w:cs="Times New Roman"/>
        </w:rPr>
        <w:t>, z uwzględnieniem poziomu AA. Każdorazowo przy tworzeniu, modernizacji lub innych zmianach w serwisach i aplikacjach</w:t>
      </w:r>
      <w:r w:rsidR="00D95E23">
        <w:rPr>
          <w:rFonts w:ascii="Times New Roman" w:hAnsi="Times New Roman" w:cs="Times New Roman"/>
        </w:rPr>
        <w:t xml:space="preserve"> zarówno w zamówieniu, jak i </w:t>
      </w:r>
      <w:r w:rsidR="004D4E9A" w:rsidRPr="006C0EB3">
        <w:rPr>
          <w:rFonts w:ascii="Times New Roman" w:hAnsi="Times New Roman" w:cs="Times New Roman"/>
        </w:rPr>
        <w:t>warunkach umowy powinny znajdować się zapisy dotyczące ich zgodności z WCAG 2.</w:t>
      </w:r>
      <w:r w:rsidR="00952081" w:rsidRPr="006C0EB3">
        <w:rPr>
          <w:rFonts w:ascii="Times New Roman" w:hAnsi="Times New Roman" w:cs="Times New Roman"/>
        </w:rPr>
        <w:t>1</w:t>
      </w:r>
      <w:r w:rsidR="00D95E23">
        <w:rPr>
          <w:rFonts w:ascii="Times New Roman" w:hAnsi="Times New Roman" w:cs="Times New Roman"/>
        </w:rPr>
        <w:t>, z </w:t>
      </w:r>
      <w:r w:rsidR="004D4E9A" w:rsidRPr="006C0EB3">
        <w:rPr>
          <w:rFonts w:ascii="Times New Roman" w:hAnsi="Times New Roman" w:cs="Times New Roman"/>
        </w:rPr>
        <w:t>uwzględnieniem poziomu AA.</w:t>
      </w:r>
    </w:p>
    <w:p w14:paraId="01AA956E" w14:textId="00F37BC7" w:rsidR="00796FDE" w:rsidRPr="006C0EB3" w:rsidRDefault="00796FDE" w:rsidP="000F309C">
      <w:p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Niezależnie od stanu dostępności stron internetowych Placówka </w:t>
      </w:r>
      <w:r w:rsidR="002D53A1" w:rsidRPr="006C0EB3">
        <w:rPr>
          <w:rFonts w:ascii="Times New Roman" w:hAnsi="Times New Roman" w:cs="Times New Roman"/>
        </w:rPr>
        <w:t xml:space="preserve">dokłada starań aby </w:t>
      </w:r>
      <w:r w:rsidR="00516BB8" w:rsidRPr="006C0EB3">
        <w:rPr>
          <w:rFonts w:ascii="Times New Roman" w:hAnsi="Times New Roman" w:cs="Times New Roman"/>
        </w:rPr>
        <w:t>nowo publikowane</w:t>
      </w:r>
      <w:r w:rsidR="002D53A1" w:rsidRPr="006C0EB3">
        <w:rPr>
          <w:rFonts w:ascii="Times New Roman" w:hAnsi="Times New Roman" w:cs="Times New Roman"/>
        </w:rPr>
        <w:t xml:space="preserve"> treści na tyle na ile stosowana technologia pozwala </w:t>
      </w:r>
      <w:r w:rsidR="00516BB8" w:rsidRPr="006C0EB3">
        <w:rPr>
          <w:rFonts w:ascii="Times New Roman" w:hAnsi="Times New Roman" w:cs="Times New Roman"/>
        </w:rPr>
        <w:t xml:space="preserve">w maksymalnym zakresie </w:t>
      </w:r>
      <w:r w:rsidR="002D53A1" w:rsidRPr="006C0EB3">
        <w:rPr>
          <w:rFonts w:ascii="Times New Roman" w:hAnsi="Times New Roman" w:cs="Times New Roman"/>
        </w:rPr>
        <w:t xml:space="preserve">spełniały wymagania dotyczące </w:t>
      </w:r>
      <w:r w:rsidR="00516BB8" w:rsidRPr="006C0EB3">
        <w:rPr>
          <w:rFonts w:ascii="Times New Roman" w:hAnsi="Times New Roman" w:cs="Times New Roman"/>
        </w:rPr>
        <w:t>dostępności cyfrowej.</w:t>
      </w:r>
    </w:p>
    <w:p w14:paraId="0FDB8C9C" w14:textId="0A92CC10" w:rsidR="004D4E9A" w:rsidRPr="00391ED5" w:rsidRDefault="009F0CEF" w:rsidP="009F0CEF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391ED5">
        <w:rPr>
          <w:rFonts w:ascii="Times New Roman" w:hAnsi="Times New Roman" w:cs="Times New Roman"/>
          <w:b/>
          <w:sz w:val="22"/>
          <w:szCs w:val="22"/>
        </w:rPr>
        <w:t>Dostępność publikacji w mediach społecznościowych</w:t>
      </w:r>
    </w:p>
    <w:p w14:paraId="3CAB319E" w14:textId="4DB99972" w:rsidR="009F0CEF" w:rsidRPr="006C0EB3" w:rsidRDefault="009F0CEF" w:rsidP="000F309C">
      <w:p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Wszystkie publikowane w mediach społecznościowych (m.in. Facebook, Twitter) materiały powinny być dostępne. W szczególności dotyczy to zapewnienia treści alternatywnych (tekstów alternatywnych, napisów, tłumaczeń etc.) dla publikowanych zdjęć, grafik i multimediów</w:t>
      </w:r>
    </w:p>
    <w:p w14:paraId="6440933D" w14:textId="03486679" w:rsidR="009F0CEF" w:rsidRPr="006C0EB3" w:rsidRDefault="009F0CEF" w:rsidP="009F0CEF">
      <w:pPr>
        <w:rPr>
          <w:rFonts w:ascii="Times New Roman" w:hAnsi="Times New Roman" w:cs="Times New Roman"/>
        </w:rPr>
      </w:pPr>
    </w:p>
    <w:p w14:paraId="0B8FE17D" w14:textId="7D8E6A82" w:rsidR="009F0CEF" w:rsidRPr="00391ED5" w:rsidRDefault="009F0CEF" w:rsidP="009F0CEF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391ED5">
        <w:rPr>
          <w:rFonts w:ascii="Times New Roman" w:hAnsi="Times New Roman" w:cs="Times New Roman"/>
          <w:b/>
          <w:sz w:val="22"/>
          <w:szCs w:val="22"/>
        </w:rPr>
        <w:t>Dostępność i zrozumiałości komunikatów oraz dokumentów</w:t>
      </w:r>
    </w:p>
    <w:p w14:paraId="5B98ED3E" w14:textId="62B7C46C" w:rsidR="009F0CEF" w:rsidRPr="00391ED5" w:rsidRDefault="009F0CEF" w:rsidP="009F0CEF">
      <w:pPr>
        <w:pStyle w:val="Nagwek2"/>
        <w:rPr>
          <w:rFonts w:ascii="Times New Roman" w:hAnsi="Times New Roman" w:cs="Times New Roman"/>
          <w:b/>
          <w:sz w:val="22"/>
          <w:szCs w:val="22"/>
        </w:rPr>
      </w:pPr>
      <w:r w:rsidRPr="00391ED5">
        <w:rPr>
          <w:rFonts w:ascii="Times New Roman" w:hAnsi="Times New Roman" w:cs="Times New Roman"/>
          <w:b/>
          <w:sz w:val="22"/>
          <w:szCs w:val="22"/>
        </w:rPr>
        <w:t>zasady tworzenia jasnych komunikatów</w:t>
      </w:r>
    </w:p>
    <w:p w14:paraId="3EF757AC" w14:textId="1F77E891" w:rsidR="009F0CEF" w:rsidRPr="006C0EB3" w:rsidRDefault="009F0CEF" w:rsidP="000F309C">
      <w:p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Język stosowany zarówno w przestrzeni cyfrowej, jak również w dokumentach, pismach</w:t>
      </w:r>
      <w:r w:rsidR="00D95E23">
        <w:rPr>
          <w:rFonts w:ascii="Times New Roman" w:hAnsi="Times New Roman" w:cs="Times New Roman"/>
        </w:rPr>
        <w:t xml:space="preserve"> tworzonych w </w:t>
      </w:r>
      <w:r w:rsidRPr="006C0EB3">
        <w:rPr>
          <w:rFonts w:ascii="Times New Roman" w:hAnsi="Times New Roman" w:cs="Times New Roman"/>
        </w:rPr>
        <w:t>Placówce powinien być przystępny i zrozumiały dla odbiorcy. Należy unikać tworzenia długich, złożonych zdań, żargonu technicznego i kancelaryzmów. Pracownik Placówki</w:t>
      </w:r>
      <w:r w:rsidR="00D95E23">
        <w:rPr>
          <w:rFonts w:ascii="Times New Roman" w:hAnsi="Times New Roman" w:cs="Times New Roman"/>
        </w:rPr>
        <w:t xml:space="preserve"> przekazuje informację w </w:t>
      </w:r>
      <w:r w:rsidRPr="006C0EB3">
        <w:rPr>
          <w:rFonts w:ascii="Times New Roman" w:hAnsi="Times New Roman" w:cs="Times New Roman"/>
        </w:rPr>
        <w:t>możliwie najprostszy i najkrótszy sposób.</w:t>
      </w:r>
    </w:p>
    <w:p w14:paraId="5D9EB50E" w14:textId="77777777" w:rsidR="005A47C1" w:rsidRPr="006C0EB3" w:rsidRDefault="005A47C1" w:rsidP="005A47C1">
      <w:pPr>
        <w:spacing w:after="142"/>
        <w:ind w:left="-5" w:right="8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Wszystkie opracowywane komunikaty, niezależnie od formy i miejsca publikacji</w:t>
      </w:r>
      <w:bookmarkStart w:id="0" w:name="_GoBack"/>
      <w:bookmarkEnd w:id="0"/>
      <w:r w:rsidRPr="006C0EB3">
        <w:rPr>
          <w:rFonts w:ascii="Times New Roman" w:hAnsi="Times New Roman" w:cs="Times New Roman"/>
        </w:rPr>
        <w:t xml:space="preserve">:  </w:t>
      </w:r>
    </w:p>
    <w:p w14:paraId="2C94BD71" w14:textId="77777777" w:rsidR="005A47C1" w:rsidRPr="006C0EB3" w:rsidRDefault="005A47C1" w:rsidP="00363795">
      <w:pPr>
        <w:numPr>
          <w:ilvl w:val="0"/>
          <w:numId w:val="4"/>
        </w:numPr>
        <w:spacing w:after="40" w:line="250" w:lineRule="auto"/>
        <w:ind w:right="8" w:hanging="360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lastRenderedPageBreak/>
        <w:t xml:space="preserve">tworzone są łatwym i przystępnym językiem, </w:t>
      </w:r>
    </w:p>
    <w:p w14:paraId="61346C58" w14:textId="77777777" w:rsidR="005A47C1" w:rsidRPr="006C0EB3" w:rsidRDefault="005A47C1" w:rsidP="00363795">
      <w:pPr>
        <w:numPr>
          <w:ilvl w:val="0"/>
          <w:numId w:val="4"/>
        </w:numPr>
        <w:spacing w:after="40" w:line="250" w:lineRule="auto"/>
        <w:ind w:right="8" w:hanging="360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posiadają właściwą strukturę, </w:t>
      </w:r>
    </w:p>
    <w:p w14:paraId="332D5312" w14:textId="77777777" w:rsidR="005A47C1" w:rsidRPr="006C0EB3" w:rsidRDefault="005A47C1" w:rsidP="00363795">
      <w:pPr>
        <w:numPr>
          <w:ilvl w:val="0"/>
          <w:numId w:val="4"/>
        </w:numPr>
        <w:spacing w:after="40" w:line="250" w:lineRule="auto"/>
        <w:ind w:right="8" w:hanging="360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posiadają opisane grafiki (tekst alternatywny) oraz prawidłowo nazwane załączniki WORD, PDF, Excel (z uwzględnieniem polskich znaków i prawidłowo opisujące zawartość załącznika), </w:t>
      </w:r>
    </w:p>
    <w:p w14:paraId="6CD8B0FA" w14:textId="77777777" w:rsidR="005A47C1" w:rsidRPr="006C0EB3" w:rsidRDefault="005A47C1" w:rsidP="00363795">
      <w:pPr>
        <w:numPr>
          <w:ilvl w:val="0"/>
          <w:numId w:val="4"/>
        </w:numPr>
        <w:spacing w:after="40" w:line="250" w:lineRule="auto"/>
        <w:ind w:right="8" w:hanging="360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uwzględniają warstwę tekstową w zamieszczanych dokumentach cyfrowych, </w:t>
      </w:r>
    </w:p>
    <w:p w14:paraId="500A660C" w14:textId="1F9B18F3" w:rsidR="005A47C1" w:rsidRPr="006C0EB3" w:rsidRDefault="00363795" w:rsidP="00363795">
      <w:pPr>
        <w:numPr>
          <w:ilvl w:val="0"/>
          <w:numId w:val="4"/>
        </w:numPr>
        <w:spacing w:after="40" w:line="250" w:lineRule="auto"/>
        <w:ind w:right="8" w:hanging="360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o ile istnieje taka możliwość </w:t>
      </w:r>
      <w:r w:rsidR="005A47C1" w:rsidRPr="006C0EB3">
        <w:rPr>
          <w:rFonts w:ascii="Times New Roman" w:hAnsi="Times New Roman" w:cs="Times New Roman"/>
        </w:rPr>
        <w:t xml:space="preserve">posiadają napisy w przypadku multimediów, </w:t>
      </w:r>
    </w:p>
    <w:p w14:paraId="1C18F659" w14:textId="1D16C051" w:rsidR="00363795" w:rsidRPr="006C0EB3" w:rsidRDefault="00363795" w:rsidP="00363795">
      <w:pPr>
        <w:numPr>
          <w:ilvl w:val="0"/>
          <w:numId w:val="4"/>
        </w:numPr>
        <w:spacing w:after="40" w:line="250" w:lineRule="auto"/>
        <w:ind w:right="8" w:hanging="360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zdjęcia posiadają alternatywny opis tekstowy. </w:t>
      </w:r>
    </w:p>
    <w:p w14:paraId="3F9FEF21" w14:textId="4C226BAA" w:rsidR="00363795" w:rsidRPr="00391ED5" w:rsidRDefault="00D43868" w:rsidP="00363795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391ED5">
        <w:rPr>
          <w:rFonts w:ascii="Times New Roman" w:hAnsi="Times New Roman" w:cs="Times New Roman"/>
          <w:b/>
          <w:sz w:val="22"/>
          <w:szCs w:val="22"/>
        </w:rPr>
        <w:t>Z</w:t>
      </w:r>
      <w:r w:rsidR="00003F6F" w:rsidRPr="00391ED5">
        <w:rPr>
          <w:rFonts w:ascii="Times New Roman" w:hAnsi="Times New Roman" w:cs="Times New Roman"/>
          <w:b/>
          <w:sz w:val="22"/>
          <w:szCs w:val="22"/>
        </w:rPr>
        <w:t>akupy i świadczenie usług</w:t>
      </w:r>
    </w:p>
    <w:p w14:paraId="75A58905" w14:textId="09BF4C59" w:rsidR="00363795" w:rsidRPr="006C0EB3" w:rsidRDefault="00F07140" w:rsidP="003B214D">
      <w:p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Dyrektor Placówki oraz osoby odpowiedzialne za zakupy, zamówienia publiczne lub </w:t>
      </w:r>
      <w:r w:rsidR="00003F6F" w:rsidRPr="006C0EB3">
        <w:rPr>
          <w:rFonts w:ascii="Times New Roman" w:hAnsi="Times New Roman" w:cs="Times New Roman"/>
        </w:rPr>
        <w:t xml:space="preserve">projektowanie nowych usług i systemów odpowiedzialni są za uwzględnienie w planowanych inwestycjach </w:t>
      </w:r>
      <w:r w:rsidR="00391ED5">
        <w:rPr>
          <w:rFonts w:ascii="Times New Roman" w:hAnsi="Times New Roman" w:cs="Times New Roman"/>
        </w:rPr>
        <w:t>już na </w:t>
      </w:r>
      <w:r w:rsidR="003B214D" w:rsidRPr="006C0EB3">
        <w:rPr>
          <w:rFonts w:ascii="Times New Roman" w:hAnsi="Times New Roman" w:cs="Times New Roman"/>
        </w:rPr>
        <w:t xml:space="preserve">etapie doboru rozwiązań oraz określania ich wymagań potrzeb związanych z zapewnieniem dostępności. </w:t>
      </w:r>
    </w:p>
    <w:p w14:paraId="00B3FC45" w14:textId="1049D126" w:rsidR="00111E1D" w:rsidRPr="006C0EB3" w:rsidRDefault="00111E1D" w:rsidP="00111E1D">
      <w:p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W przypadku zamówień/zleceń (niezależnie od wartości zamówienia) dotyczących: </w:t>
      </w:r>
    </w:p>
    <w:p w14:paraId="13E1847D" w14:textId="6B7F8ED0" w:rsidR="00111E1D" w:rsidRPr="006C0EB3" w:rsidRDefault="00111E1D" w:rsidP="00111E1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stron www, </w:t>
      </w:r>
    </w:p>
    <w:p w14:paraId="4DA46356" w14:textId="1796BE8C" w:rsidR="00111E1D" w:rsidRPr="006C0EB3" w:rsidRDefault="00111E1D" w:rsidP="00111E1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aplikacji mobilnych, </w:t>
      </w:r>
    </w:p>
    <w:p w14:paraId="3683BADD" w14:textId="0D18B370" w:rsidR="00111E1D" w:rsidRPr="006C0EB3" w:rsidRDefault="00111E1D" w:rsidP="00111E1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intranetu i ekstranetu, </w:t>
      </w:r>
    </w:p>
    <w:p w14:paraId="76A47F8E" w14:textId="07A89A78" w:rsidR="00111E1D" w:rsidRPr="006C0EB3" w:rsidRDefault="00111E1D" w:rsidP="00111E1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materiałów multimedialnych, </w:t>
      </w:r>
    </w:p>
    <w:p w14:paraId="1FBE7189" w14:textId="6A3AABB5" w:rsidR="00111E1D" w:rsidRPr="006C0EB3" w:rsidRDefault="00111E1D" w:rsidP="00111E1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cyfrowych materiałów informacyjno-edukacyjnych, w tym plakatów i ulotek, </w:t>
      </w:r>
    </w:p>
    <w:p w14:paraId="68164D7D" w14:textId="67DA2ED8" w:rsidR="00111E1D" w:rsidRPr="006C0EB3" w:rsidRDefault="00111E1D" w:rsidP="00111E1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opracowań cyfrowych (dokumentów, raportów, badań, analiz) opracowywanych na potrzeby klientów zewnętrznych), </w:t>
      </w:r>
    </w:p>
    <w:p w14:paraId="3AA7A182" w14:textId="0F4DAF34" w:rsidR="00111E1D" w:rsidRPr="006C0EB3" w:rsidRDefault="00111E1D" w:rsidP="00111E1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systemów, oprogramowania służących do realizacji zadań przez pracowników Placówki </w:t>
      </w:r>
    </w:p>
    <w:p w14:paraId="4BEBBDAF" w14:textId="6215DA20" w:rsidR="00111E1D" w:rsidRPr="006C0EB3" w:rsidRDefault="00111E1D" w:rsidP="00111E1D">
      <w:p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warunkiem bezwzględnym jest zapewnienie przez wykonawcę zgo</w:t>
      </w:r>
      <w:r w:rsidR="00D95E23">
        <w:rPr>
          <w:rFonts w:ascii="Times New Roman" w:hAnsi="Times New Roman" w:cs="Times New Roman"/>
        </w:rPr>
        <w:t>dności przedmiotu zamówienia ze </w:t>
      </w:r>
      <w:r w:rsidRPr="006C0EB3">
        <w:rPr>
          <w:rFonts w:ascii="Times New Roman" w:hAnsi="Times New Roman" w:cs="Times New Roman"/>
        </w:rPr>
        <w:t>standardem WCAG 2.</w:t>
      </w:r>
      <w:r w:rsidR="00775E63" w:rsidRPr="006C0EB3">
        <w:rPr>
          <w:rFonts w:ascii="Times New Roman" w:hAnsi="Times New Roman" w:cs="Times New Roman"/>
        </w:rPr>
        <w:t>1</w:t>
      </w:r>
      <w:r w:rsidRPr="006C0EB3">
        <w:rPr>
          <w:rFonts w:ascii="Times New Roman" w:hAnsi="Times New Roman" w:cs="Times New Roman"/>
        </w:rPr>
        <w:t xml:space="preserve">, AA.  </w:t>
      </w:r>
    </w:p>
    <w:p w14:paraId="2D8BAD7F" w14:textId="14F42378" w:rsidR="00C50626" w:rsidRPr="006C0EB3" w:rsidRDefault="00111E1D" w:rsidP="00D045AE">
      <w:p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Każdorazowo przy zamówieniach publicznych na prace remontowo-budowlane, modernizacyjne, aranżacyjne budynków </w:t>
      </w:r>
      <w:r w:rsidR="00D045AE" w:rsidRPr="006C0EB3">
        <w:rPr>
          <w:rFonts w:ascii="Times New Roman" w:hAnsi="Times New Roman" w:cs="Times New Roman"/>
        </w:rPr>
        <w:t>Placówki</w:t>
      </w:r>
      <w:r w:rsidRPr="006C0EB3">
        <w:rPr>
          <w:rFonts w:ascii="Times New Roman" w:hAnsi="Times New Roman" w:cs="Times New Roman"/>
        </w:rPr>
        <w:t xml:space="preserve"> uwzględniane są zasady </w:t>
      </w:r>
      <w:r w:rsidR="00D95E23">
        <w:rPr>
          <w:rFonts w:ascii="Times New Roman" w:hAnsi="Times New Roman" w:cs="Times New Roman"/>
        </w:rPr>
        <w:t>projektowania uniwersalnego. Za </w:t>
      </w:r>
      <w:r w:rsidRPr="006C0EB3">
        <w:rPr>
          <w:rFonts w:ascii="Times New Roman" w:hAnsi="Times New Roman" w:cs="Times New Roman"/>
        </w:rPr>
        <w:t xml:space="preserve">obowiązujące w UKE wytyczne dostępności architektonicznej przyjęto opracowanie Ministerstwa Inwestycji i Rozwoju </w:t>
      </w:r>
      <w:r w:rsidR="00583EEE" w:rsidRPr="006C0EB3">
        <w:rPr>
          <w:rFonts w:ascii="Times New Roman" w:hAnsi="Times New Roman" w:cs="Times New Roman"/>
        </w:rPr>
        <w:t>„</w:t>
      </w:r>
      <w:r w:rsidRPr="006C0EB3">
        <w:rPr>
          <w:rFonts w:ascii="Times New Roman" w:hAnsi="Times New Roman" w:cs="Times New Roman"/>
        </w:rPr>
        <w:t>Standardy projektowania budynków dla osób z niepełnosprawnościami</w:t>
      </w:r>
      <w:r w:rsidR="00583EEE" w:rsidRPr="006C0EB3">
        <w:rPr>
          <w:rFonts w:ascii="Times New Roman" w:hAnsi="Times New Roman" w:cs="Times New Roman"/>
        </w:rPr>
        <w:t>” (https://budowlaneabc.gov.pl/standardy-projektowania-budynkow-dla-osob-niepelnosprawnych/)</w:t>
      </w:r>
      <w:r w:rsidRPr="006C0EB3">
        <w:rPr>
          <w:rFonts w:ascii="Times New Roman" w:hAnsi="Times New Roman" w:cs="Times New Roman"/>
        </w:rPr>
        <w:t xml:space="preserve">.  </w:t>
      </w:r>
    </w:p>
    <w:p w14:paraId="0570164E" w14:textId="38145C91" w:rsidR="005E715B" w:rsidRPr="006C0EB3" w:rsidRDefault="005E715B" w:rsidP="00D045AE">
      <w:pPr>
        <w:jc w:val="both"/>
        <w:rPr>
          <w:rFonts w:ascii="Times New Roman" w:hAnsi="Times New Roman" w:cs="Times New Roman"/>
        </w:rPr>
      </w:pPr>
    </w:p>
    <w:p w14:paraId="7F5D53D3" w14:textId="77777777" w:rsidR="005E715B" w:rsidRPr="006C0EB3" w:rsidRDefault="005E715B" w:rsidP="005E715B">
      <w:p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Niezależnie od przedmiotu zamówienia – w kontekście jego dostępności należy zapewnić możliwość weryfikacji, że wykonawca: </w:t>
      </w:r>
    </w:p>
    <w:p w14:paraId="3A65BD2A" w14:textId="0035F838" w:rsidR="005E715B" w:rsidRPr="006C0EB3" w:rsidRDefault="005E715B" w:rsidP="005E71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zna i stosuje wymogi dostępności, </w:t>
      </w:r>
    </w:p>
    <w:p w14:paraId="6C16C34E" w14:textId="60E7C4B1" w:rsidR="005E715B" w:rsidRPr="006C0EB3" w:rsidRDefault="005E715B" w:rsidP="005E71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będzie w stanie je wdrożyć przynajmniej na wymaganym zamówieniem poziomie. </w:t>
      </w:r>
    </w:p>
    <w:p w14:paraId="404F7961" w14:textId="77777777" w:rsidR="005E715B" w:rsidRPr="006C0EB3" w:rsidRDefault="005E715B" w:rsidP="005E715B">
      <w:p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W tym celu należy: </w:t>
      </w:r>
    </w:p>
    <w:p w14:paraId="0454F53A" w14:textId="77777777" w:rsidR="00A75BBD" w:rsidRPr="006C0EB3" w:rsidRDefault="005E715B" w:rsidP="005E71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nałożyć na wykonawcę obowiązek zapewnienia dostępności przedmiotu zamówienia w opisie przedmiotu zamówienia i w umowie, </w:t>
      </w:r>
    </w:p>
    <w:p w14:paraId="0030034B" w14:textId="17C15944" w:rsidR="005E715B" w:rsidRPr="006C0EB3" w:rsidRDefault="00A75BBD" w:rsidP="005E71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co najmniej odebrać od wykonawcy </w:t>
      </w:r>
      <w:r w:rsidR="006002F8" w:rsidRPr="006C0EB3">
        <w:rPr>
          <w:rFonts w:ascii="Times New Roman" w:hAnsi="Times New Roman" w:cs="Times New Roman"/>
        </w:rPr>
        <w:t>oświadczenie</w:t>
      </w:r>
      <w:r w:rsidRPr="006C0EB3">
        <w:rPr>
          <w:rFonts w:ascii="Times New Roman" w:hAnsi="Times New Roman" w:cs="Times New Roman"/>
        </w:rPr>
        <w:t xml:space="preserve"> </w:t>
      </w:r>
      <w:r w:rsidR="006002F8" w:rsidRPr="006C0EB3">
        <w:rPr>
          <w:rFonts w:ascii="Times New Roman" w:hAnsi="Times New Roman" w:cs="Times New Roman"/>
        </w:rPr>
        <w:t>dotyczące</w:t>
      </w:r>
      <w:r w:rsidR="00D95E23">
        <w:rPr>
          <w:rFonts w:ascii="Times New Roman" w:hAnsi="Times New Roman" w:cs="Times New Roman"/>
        </w:rPr>
        <w:t xml:space="preserve"> znajomości standardów oraz </w:t>
      </w:r>
      <w:r w:rsidRPr="006C0EB3">
        <w:rPr>
          <w:rFonts w:ascii="Times New Roman" w:hAnsi="Times New Roman" w:cs="Times New Roman"/>
        </w:rPr>
        <w:t xml:space="preserve">posiadania wiedzy i </w:t>
      </w:r>
      <w:r w:rsidR="006002F8" w:rsidRPr="006C0EB3">
        <w:rPr>
          <w:rFonts w:ascii="Times New Roman" w:hAnsi="Times New Roman" w:cs="Times New Roman"/>
        </w:rPr>
        <w:t>zasobów</w:t>
      </w:r>
      <w:r w:rsidRPr="006C0EB3">
        <w:rPr>
          <w:rFonts w:ascii="Times New Roman" w:hAnsi="Times New Roman" w:cs="Times New Roman"/>
        </w:rPr>
        <w:t xml:space="preserve"> do realizacji wymagań. </w:t>
      </w:r>
    </w:p>
    <w:p w14:paraId="18A3BBEA" w14:textId="77777777" w:rsidR="006002F8" w:rsidRPr="00391ED5" w:rsidRDefault="006002F8" w:rsidP="00DC3969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391ED5">
        <w:rPr>
          <w:rFonts w:ascii="Times New Roman" w:hAnsi="Times New Roman" w:cs="Times New Roman"/>
          <w:b/>
          <w:sz w:val="22"/>
          <w:szCs w:val="22"/>
        </w:rPr>
        <w:lastRenderedPageBreak/>
        <w:t>SZKOLENIA</w:t>
      </w:r>
    </w:p>
    <w:p w14:paraId="5098F471" w14:textId="786309B8" w:rsidR="006002F8" w:rsidRPr="006C0EB3" w:rsidRDefault="006002F8" w:rsidP="006002F8">
      <w:p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Dyrektor Placówki </w:t>
      </w:r>
      <w:r w:rsidR="003322F8" w:rsidRPr="006C0EB3">
        <w:rPr>
          <w:rFonts w:ascii="Times New Roman" w:hAnsi="Times New Roman" w:cs="Times New Roman"/>
        </w:rPr>
        <w:t xml:space="preserve">zobowiązuje osoby </w:t>
      </w:r>
      <w:r w:rsidR="002D6E5F" w:rsidRPr="006C0EB3">
        <w:rPr>
          <w:rFonts w:ascii="Times New Roman" w:hAnsi="Times New Roman" w:cs="Times New Roman"/>
        </w:rPr>
        <w:t>zaangażowane w pracę z o</w:t>
      </w:r>
      <w:r w:rsidR="00D95E23">
        <w:rPr>
          <w:rFonts w:ascii="Times New Roman" w:hAnsi="Times New Roman" w:cs="Times New Roman"/>
        </w:rPr>
        <w:t>sobami z niepełnosprawnością do </w:t>
      </w:r>
      <w:r w:rsidR="002D6E5F" w:rsidRPr="006C0EB3">
        <w:rPr>
          <w:rFonts w:ascii="Times New Roman" w:hAnsi="Times New Roman" w:cs="Times New Roman"/>
        </w:rPr>
        <w:t xml:space="preserve">poszerzania wiedzy i kompetencji w zakresie </w:t>
      </w:r>
    </w:p>
    <w:p w14:paraId="3E970FE3" w14:textId="4EBC2FD1" w:rsidR="006F0A76" w:rsidRPr="006C0EB3" w:rsidRDefault="006F0A76" w:rsidP="006F0A7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obsługi osób z niepełnosprawnościami, </w:t>
      </w:r>
    </w:p>
    <w:p w14:paraId="44495A98" w14:textId="24834343" w:rsidR="006F0A76" w:rsidRPr="006C0EB3" w:rsidRDefault="006F0A76" w:rsidP="006F0A7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dostępności cyfrowej stron www, aplikacji i dokumentów, </w:t>
      </w:r>
    </w:p>
    <w:p w14:paraId="4D255EF9" w14:textId="5AB82F1D" w:rsidR="006F0A76" w:rsidRPr="006C0EB3" w:rsidRDefault="006F0A76" w:rsidP="006F0A7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wrażliwości na niepełnosprawność, </w:t>
      </w:r>
    </w:p>
    <w:p w14:paraId="045472A8" w14:textId="77777777" w:rsidR="006F0A76" w:rsidRPr="006C0EB3" w:rsidRDefault="006F0A76" w:rsidP="006F0A7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pracy i zatrudniania osób z niepełnosprawnościami, </w:t>
      </w:r>
    </w:p>
    <w:p w14:paraId="5ED0B2A2" w14:textId="7224AED7" w:rsidR="006F0A76" w:rsidRPr="006C0EB3" w:rsidRDefault="006F0A76" w:rsidP="006F0A7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dostępności w zamówieniach publicznych.  </w:t>
      </w:r>
    </w:p>
    <w:p w14:paraId="519D8C73" w14:textId="6FAC0F5D" w:rsidR="006F0A76" w:rsidRPr="006C0EB3" w:rsidRDefault="00487AFE" w:rsidP="006002F8">
      <w:p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Szkolenia w zakresie dostępności realizowane są na podstawie analizy potrzeb szkoleniowych pracowników Urzędu.</w:t>
      </w:r>
    </w:p>
    <w:p w14:paraId="09E2D0D1" w14:textId="5C6CAF96" w:rsidR="00DC3969" w:rsidRPr="00391ED5" w:rsidRDefault="00DC3969" w:rsidP="00DC3969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391ED5">
        <w:rPr>
          <w:rFonts w:ascii="Times New Roman" w:hAnsi="Times New Roman" w:cs="Times New Roman"/>
          <w:b/>
          <w:sz w:val="22"/>
          <w:szCs w:val="22"/>
        </w:rPr>
        <w:t>UWAGI KOŃCOWE</w:t>
      </w:r>
    </w:p>
    <w:p w14:paraId="420A81F8" w14:textId="3602CFC1" w:rsidR="004C5855" w:rsidRPr="006C0EB3" w:rsidRDefault="00363795">
      <w:pPr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 xml:space="preserve">Polityka wchodzi w życie z dniem przyjęcia to jest </w:t>
      </w:r>
      <w:r w:rsidR="006A4E67" w:rsidRPr="006C0EB3">
        <w:rPr>
          <w:rFonts w:ascii="Times New Roman" w:hAnsi="Times New Roman" w:cs="Times New Roman"/>
        </w:rPr>
        <w:t>30</w:t>
      </w:r>
      <w:r w:rsidR="00D43868" w:rsidRPr="006C0EB3">
        <w:rPr>
          <w:rFonts w:ascii="Times New Roman" w:hAnsi="Times New Roman" w:cs="Times New Roman"/>
        </w:rPr>
        <w:t xml:space="preserve"> marca 2021</w:t>
      </w:r>
      <w:r w:rsidRPr="006C0EB3">
        <w:rPr>
          <w:rFonts w:ascii="Times New Roman" w:hAnsi="Times New Roman" w:cs="Times New Roman"/>
        </w:rPr>
        <w:t>.</w:t>
      </w:r>
    </w:p>
    <w:p w14:paraId="2BEA5EC9" w14:textId="68CB78D6" w:rsidR="00363795" w:rsidRPr="006C0EB3" w:rsidRDefault="00363795" w:rsidP="00363795">
      <w:pPr>
        <w:jc w:val="both"/>
        <w:rPr>
          <w:rFonts w:ascii="Times New Roman" w:hAnsi="Times New Roman" w:cs="Times New Roman"/>
        </w:rPr>
      </w:pPr>
      <w:r w:rsidRPr="006C0EB3">
        <w:rPr>
          <w:rFonts w:ascii="Times New Roman" w:hAnsi="Times New Roman" w:cs="Times New Roman"/>
        </w:rPr>
        <w:t>W sprawach nieuregulowanych polityką zastosowanie ma Ustawa z dnia 19 lipca 2019r. o zapewnianiu dostępności osobom ze szczególnymi potrzebami</w:t>
      </w:r>
    </w:p>
    <w:sectPr w:rsidR="00363795" w:rsidRPr="006C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FCBB" w14:textId="77777777" w:rsidR="00A90841" w:rsidRDefault="00A90841" w:rsidP="004D4E9A">
      <w:pPr>
        <w:spacing w:after="0" w:line="240" w:lineRule="auto"/>
      </w:pPr>
      <w:r>
        <w:separator/>
      </w:r>
    </w:p>
  </w:endnote>
  <w:endnote w:type="continuationSeparator" w:id="0">
    <w:p w14:paraId="1703AE90" w14:textId="77777777" w:rsidR="00A90841" w:rsidRDefault="00A90841" w:rsidP="004D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CDF8" w14:textId="77777777" w:rsidR="00A90841" w:rsidRDefault="00A90841" w:rsidP="004D4E9A">
      <w:pPr>
        <w:spacing w:after="0" w:line="240" w:lineRule="auto"/>
      </w:pPr>
      <w:r>
        <w:separator/>
      </w:r>
    </w:p>
  </w:footnote>
  <w:footnote w:type="continuationSeparator" w:id="0">
    <w:p w14:paraId="50520699" w14:textId="77777777" w:rsidR="00A90841" w:rsidRDefault="00A90841" w:rsidP="004D4E9A">
      <w:pPr>
        <w:spacing w:after="0" w:line="240" w:lineRule="auto"/>
      </w:pPr>
      <w:r>
        <w:continuationSeparator/>
      </w:r>
    </w:p>
  </w:footnote>
  <w:footnote w:id="1">
    <w:p w14:paraId="0A78CAAB" w14:textId="77777777" w:rsidR="004D4E9A" w:rsidRDefault="004D4E9A" w:rsidP="004D4E9A">
      <w:pPr>
        <w:pStyle w:val="footnotedescription"/>
      </w:pPr>
      <w:r>
        <w:rPr>
          <w:rStyle w:val="footnotemark"/>
        </w:rPr>
        <w:footnoteRef/>
      </w:r>
      <w:r>
        <w:t xml:space="preserve"> Web Content Accessibility </w:t>
      </w:r>
      <w:proofErr w:type="spellStart"/>
      <w:r>
        <w:t>Guidelines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BFC"/>
    <w:multiLevelType w:val="hybridMultilevel"/>
    <w:tmpl w:val="8C983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17AD"/>
    <w:multiLevelType w:val="hybridMultilevel"/>
    <w:tmpl w:val="D81C4784"/>
    <w:lvl w:ilvl="0" w:tplc="E0A0FDE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484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C3E0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01C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C0C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EBC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A18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893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A03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41717A"/>
    <w:multiLevelType w:val="hybridMultilevel"/>
    <w:tmpl w:val="2EDE7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345F"/>
    <w:multiLevelType w:val="hybridMultilevel"/>
    <w:tmpl w:val="AC4C5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8E3"/>
    <w:multiLevelType w:val="hybridMultilevel"/>
    <w:tmpl w:val="242C2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72854"/>
    <w:multiLevelType w:val="hybridMultilevel"/>
    <w:tmpl w:val="94562A70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484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C3E0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01C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C0C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EBC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A18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893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A03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EE24FA"/>
    <w:multiLevelType w:val="hybridMultilevel"/>
    <w:tmpl w:val="6E2877E2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7AE864A0"/>
    <w:multiLevelType w:val="hybridMultilevel"/>
    <w:tmpl w:val="4EAE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9F"/>
    <w:rsid w:val="00001E6E"/>
    <w:rsid w:val="00003F6F"/>
    <w:rsid w:val="0003374C"/>
    <w:rsid w:val="000B05FF"/>
    <w:rsid w:val="000C11A5"/>
    <w:rsid w:val="000F309C"/>
    <w:rsid w:val="001012FB"/>
    <w:rsid w:val="00111E1D"/>
    <w:rsid w:val="00176480"/>
    <w:rsid w:val="001B2F25"/>
    <w:rsid w:val="001F6DAA"/>
    <w:rsid w:val="00213FCB"/>
    <w:rsid w:val="002509DF"/>
    <w:rsid w:val="002714F8"/>
    <w:rsid w:val="0027718D"/>
    <w:rsid w:val="002D29B9"/>
    <w:rsid w:val="002D53A1"/>
    <w:rsid w:val="002D6E5F"/>
    <w:rsid w:val="003322F8"/>
    <w:rsid w:val="00343665"/>
    <w:rsid w:val="00363795"/>
    <w:rsid w:val="00381518"/>
    <w:rsid w:val="00391ED5"/>
    <w:rsid w:val="003B214D"/>
    <w:rsid w:val="003C2DA5"/>
    <w:rsid w:val="003E7221"/>
    <w:rsid w:val="00487AFE"/>
    <w:rsid w:val="00491210"/>
    <w:rsid w:val="004D4E9A"/>
    <w:rsid w:val="00516BB8"/>
    <w:rsid w:val="00551F21"/>
    <w:rsid w:val="0056452E"/>
    <w:rsid w:val="00583EEE"/>
    <w:rsid w:val="005A47C1"/>
    <w:rsid w:val="005B0667"/>
    <w:rsid w:val="005E668D"/>
    <w:rsid w:val="005E715B"/>
    <w:rsid w:val="005F6136"/>
    <w:rsid w:val="006002F8"/>
    <w:rsid w:val="006A4E67"/>
    <w:rsid w:val="006C0EB3"/>
    <w:rsid w:val="006D69AC"/>
    <w:rsid w:val="006F0A76"/>
    <w:rsid w:val="00706C8F"/>
    <w:rsid w:val="00770F9F"/>
    <w:rsid w:val="00775E63"/>
    <w:rsid w:val="00796FDE"/>
    <w:rsid w:val="008162D3"/>
    <w:rsid w:val="008747C1"/>
    <w:rsid w:val="00896A42"/>
    <w:rsid w:val="00922A22"/>
    <w:rsid w:val="00952081"/>
    <w:rsid w:val="00964A2C"/>
    <w:rsid w:val="009E4D9C"/>
    <w:rsid w:val="009F0CEF"/>
    <w:rsid w:val="00A36346"/>
    <w:rsid w:val="00A73C3B"/>
    <w:rsid w:val="00A75BBD"/>
    <w:rsid w:val="00A90841"/>
    <w:rsid w:val="00AD69F8"/>
    <w:rsid w:val="00B848D6"/>
    <w:rsid w:val="00BC6C82"/>
    <w:rsid w:val="00BF7A70"/>
    <w:rsid w:val="00C13725"/>
    <w:rsid w:val="00C50626"/>
    <w:rsid w:val="00CE40E3"/>
    <w:rsid w:val="00D045AE"/>
    <w:rsid w:val="00D43868"/>
    <w:rsid w:val="00D5234C"/>
    <w:rsid w:val="00D62F78"/>
    <w:rsid w:val="00D95E23"/>
    <w:rsid w:val="00DB2FD5"/>
    <w:rsid w:val="00DC3969"/>
    <w:rsid w:val="00DD2869"/>
    <w:rsid w:val="00E40D01"/>
    <w:rsid w:val="00E7036E"/>
    <w:rsid w:val="00EA38D7"/>
    <w:rsid w:val="00F07140"/>
    <w:rsid w:val="00F2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1730"/>
  <w15:chartTrackingRefBased/>
  <w15:docId w15:val="{0AEA4398-16B9-4344-BD26-F7A1B404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95"/>
  </w:style>
  <w:style w:type="paragraph" w:styleId="Nagwek1">
    <w:name w:val="heading 1"/>
    <w:basedOn w:val="Normalny"/>
    <w:next w:val="Normalny"/>
    <w:link w:val="Nagwek1Znak"/>
    <w:uiPriority w:val="9"/>
    <w:qFormat/>
    <w:rsid w:val="00770F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0F9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F9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0F9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0F9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0F9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0F9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0F9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0F9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F9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70F9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F9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0F9F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0F9F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0F9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0F9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0F9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0F9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0F9F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70F9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70F9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0F9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70F9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70F9F"/>
    <w:rPr>
      <w:b/>
      <w:bCs/>
    </w:rPr>
  </w:style>
  <w:style w:type="character" w:styleId="Uwydatnienie">
    <w:name w:val="Emphasis"/>
    <w:basedOn w:val="Domylnaczcionkaakapitu"/>
    <w:uiPriority w:val="20"/>
    <w:qFormat/>
    <w:rsid w:val="00770F9F"/>
    <w:rPr>
      <w:i/>
      <w:iCs/>
    </w:rPr>
  </w:style>
  <w:style w:type="paragraph" w:styleId="Bezodstpw">
    <w:name w:val="No Spacing"/>
    <w:uiPriority w:val="1"/>
    <w:qFormat/>
    <w:rsid w:val="00770F9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70F9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70F9F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0F9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0F9F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70F9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70F9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70F9F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70F9F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70F9F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0F9F"/>
    <w:pPr>
      <w:outlineLvl w:val="9"/>
    </w:pPr>
  </w:style>
  <w:style w:type="paragraph" w:styleId="Akapitzlist">
    <w:name w:val="List Paragraph"/>
    <w:basedOn w:val="Normalny"/>
    <w:uiPriority w:val="34"/>
    <w:qFormat/>
    <w:rsid w:val="00770F9F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4D4E9A"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D4E9A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4D4E9A"/>
    <w:rPr>
      <w:rFonts w:ascii="Calibri" w:eastAsia="Calibri" w:hAnsi="Calibri" w:cs="Calibri"/>
      <w:color w:val="000000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6B612303842488B068DBCB44ED34E" ma:contentTypeVersion="12" ma:contentTypeDescription="Utwórz nowy dokument." ma:contentTypeScope="" ma:versionID="1ca53ca1753dc942fbf08a1955674e8c">
  <xsd:schema xmlns:xsd="http://www.w3.org/2001/XMLSchema" xmlns:xs="http://www.w3.org/2001/XMLSchema" xmlns:p="http://schemas.microsoft.com/office/2006/metadata/properties" xmlns:ns2="5c215474-d1e3-4521-a7dd-bc2470ff5966" xmlns:ns3="1784d4c6-3ef1-4b62-8383-6ed6efae23d9" targetNamespace="http://schemas.microsoft.com/office/2006/metadata/properties" ma:root="true" ma:fieldsID="21fe7dcb2871c9ca7dc9dfd61499fe24" ns2:_="" ns3:_="">
    <xsd:import namespace="5c215474-d1e3-4521-a7dd-bc2470ff5966"/>
    <xsd:import namespace="1784d4c6-3ef1-4b62-8383-6ed6efae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5474-d1e3-4521-a7dd-bc2470ff5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d4c6-3ef1-4b62-8383-6ed6efae2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30F31-431E-44FA-B36D-981DA7EBD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5474-d1e3-4521-a7dd-bc2470ff5966"/>
    <ds:schemaRef ds:uri="1784d4c6-3ef1-4b62-8383-6ed6efae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C02BF-BB94-4546-9E5D-845C57E26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C3EDC-F5E4-4410-97A2-2BD1F76FC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Kontny</dc:creator>
  <cp:keywords/>
  <dc:description/>
  <cp:lastModifiedBy>KARINA BRYJA</cp:lastModifiedBy>
  <cp:revision>15</cp:revision>
  <dcterms:created xsi:type="dcterms:W3CDTF">2021-03-30T06:57:00Z</dcterms:created>
  <dcterms:modified xsi:type="dcterms:W3CDTF">2021-04-06T09:02:00Z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0x010100C926B612303842488B068DBCB44ED34E</vt:lpwstr>
  </property>
</Properties>
</file>