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TEMAT:Utrwalenie  wiadomości  dotyczących  działu,,Podstawy techniki”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*Proszę powtórzyć zagadnienia  dotyczące  właściwości  stali i   żeliwa,metali nieżelaznych(kolorowych), tworzyw  sztucznych i  innych  materiałów  stosowanych w technice rolniczej,klasyfikacji  części  maszyn,połączeń rozłącznych i nierozłącznych części maszyn i urządzeń rolniczych,łożysk, sprzęgieł  i przekładni.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*Odpowiedzieć pisemnie   w  zeszycie  przedmiotowym  na pytania: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-Jakie są rodzaje  stali ze  względu na zawartość węgla?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-Czym różnią się  stale  stopowe  od niestopowych?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-Podać  zastosowania   żeliwa w  technice  rolniczej.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-Podać  przykłady  zastosowania  metali nieżelaznych  w  budowie maszyn rolniczych.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-Jakie stopy  metali  stosuje się  w konstrukcjach  maszyn  rolniczych?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-Omówić zastosowanie  tworzyw sztucznych w technice rolniczej.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-Podać przykłady części  prostych  oraz złożonych  w maszynach i urządzeniach.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-Omówić połączenia rozłączne i nierozłączne  części  maszyn.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-Jakie rodzaje łożysk są  stosowane  w   maszynach i urządzeniach rolniczych?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-Omówić podstawowe  rodzaje sprzęgieł stosowanych w technice rolniczej.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-Jakie  rodzaje przekładni stosuje się  w rolnictwie?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*Zrobić zdjęcia  z  notatek w zeszycie i przesłać na e-mail:amrozowski2020@gmail.com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