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A4820" w:rsidRDefault="0085178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  <w:r w:rsidR="009C4DCA" w:rsidRPr="009A4820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>.</w:t>
            </w:r>
            <w:r w:rsidR="00F935CE" w:rsidRPr="009A4820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0C6451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C6451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0C6451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EF264B" w:rsidP="007B6C7D">
            <w:pPr>
              <w:tabs>
                <w:tab w:val="left" w:pos="4007"/>
              </w:tabs>
              <w:spacing w:after="0" w:line="240" w:lineRule="auto"/>
            </w:pPr>
            <w:r w:rsidRPr="00D25805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C4DCA">
              <w:rPr>
                <w:rFonts w:ascii="Times New Roman" w:hAnsi="Times New Roman"/>
              </w:rPr>
              <w:t xml:space="preserve">definovanie pojmu implicitná </w:t>
            </w:r>
            <w:r w:rsidR="00C92AF4">
              <w:rPr>
                <w:rFonts w:ascii="Times New Roman" w:hAnsi="Times New Roman"/>
              </w:rPr>
              <w:t xml:space="preserve"> informácia</w:t>
            </w:r>
            <w:r>
              <w:rPr>
                <w:rFonts w:ascii="Times New Roman" w:hAnsi="Times New Roman"/>
              </w:rPr>
              <w:t>,</w:t>
            </w:r>
          </w:p>
          <w:p w:rsid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porovnanie pojmov: explicitne a implicitne</w:t>
            </w:r>
            <w:r w:rsidR="00633E50">
              <w:rPr>
                <w:rFonts w:ascii="Times New Roman" w:hAnsi="Times New Roman"/>
              </w:rPr>
              <w:t xml:space="preserve">, </w:t>
            </w:r>
          </w:p>
          <w:p w:rsidR="00633E50" w:rsidRDefault="009C4DCA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vyvodenie implicitných</w:t>
            </w:r>
            <w:r w:rsidR="00C92AF4">
              <w:rPr>
                <w:rFonts w:ascii="Times New Roman" w:hAnsi="Times New Roman"/>
              </w:rPr>
              <w:t xml:space="preserve">  informácií z literárneho textu:</w:t>
            </w:r>
          </w:p>
          <w:p w:rsidR="00633E50" w:rsidRDefault="00C92AF4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- </w:t>
            </w:r>
            <w:r w:rsidR="00633E50">
              <w:rPr>
                <w:rFonts w:ascii="Times New Roman" w:hAnsi="Times New Roman"/>
              </w:rPr>
              <w:t xml:space="preserve">rozvíjanie čitateľských kompetencií žiakov, </w:t>
            </w:r>
          </w:p>
          <w:p w:rsidR="00C92AF4" w:rsidRDefault="00633E50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92AF4">
              <w:rPr>
                <w:rFonts w:ascii="Times New Roman" w:hAnsi="Times New Roman"/>
              </w:rPr>
              <w:t xml:space="preserve"> rozvíjanie poznávacích kompetencií,</w:t>
            </w:r>
          </w:p>
          <w:p w:rsidR="0033728E" w:rsidRDefault="00C92AF4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- rozvíjanie komunikačných kompetencií</w:t>
            </w:r>
            <w:r w:rsidR="0033728E">
              <w:rPr>
                <w:rFonts w:ascii="Times New Roman" w:hAnsi="Times New Roman"/>
              </w:rPr>
              <w:t>,</w:t>
            </w:r>
          </w:p>
          <w:p w:rsidR="0033728E" w:rsidRDefault="0033728E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- rozvíjanie interpersonálnych a </w:t>
            </w:r>
            <w:proofErr w:type="spellStart"/>
            <w:r>
              <w:rPr>
                <w:rFonts w:ascii="Times New Roman" w:hAnsi="Times New Roman"/>
              </w:rPr>
              <w:t>intrapersonálnych</w:t>
            </w:r>
            <w:proofErr w:type="spellEnd"/>
          </w:p>
          <w:p w:rsidR="0033728E" w:rsidRDefault="0033728E" w:rsidP="00633E5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kompetencií.</w:t>
            </w:r>
          </w:p>
          <w:p w:rsidR="00633E50" w:rsidRPr="0033728E" w:rsidRDefault="00633E50" w:rsidP="0033728E">
            <w:pPr>
              <w:pStyle w:val="Odsekzoznamu"/>
              <w:tabs>
                <w:tab w:val="left" w:pos="2910"/>
              </w:tabs>
              <w:spacing w:after="0" w:line="240" w:lineRule="auto"/>
              <w:ind w:left="4860"/>
              <w:rPr>
                <w:rFonts w:ascii="Times New Roman" w:hAnsi="Times New Roman"/>
              </w:rPr>
            </w:pPr>
          </w:p>
          <w:p w:rsidR="00633E50" w:rsidRPr="00011681" w:rsidRDefault="00011681" w:rsidP="000116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1681">
              <w:rPr>
                <w:rFonts w:ascii="Times New Roman" w:hAnsi="Times New Roman"/>
              </w:rPr>
              <w:t>-</w:t>
            </w:r>
            <w:r w:rsidR="00236888" w:rsidRPr="00011681">
              <w:rPr>
                <w:rFonts w:ascii="Times New Roman" w:hAnsi="Times New Roman"/>
              </w:rPr>
              <w:t>vstupné testy a analýza vstupných testov</w:t>
            </w:r>
          </w:p>
          <w:p w:rsidR="00011681" w:rsidRDefault="00011681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1681" w:rsidRDefault="00011681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33E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ciele, úlohy, kompetencie, teoretické východiská, </w:t>
            </w:r>
            <w:r w:rsidR="00FF2154">
              <w:rPr>
                <w:rFonts w:ascii="Times New Roman" w:hAnsi="Times New Roman"/>
              </w:rPr>
              <w:t xml:space="preserve">informácia, </w:t>
            </w:r>
            <w:r w:rsidR="009C4DCA">
              <w:rPr>
                <w:rFonts w:ascii="Times New Roman" w:hAnsi="Times New Roman"/>
              </w:rPr>
              <w:t>implicitne, implicitné</w:t>
            </w:r>
            <w:r w:rsidR="00C92AF4">
              <w:rPr>
                <w:rFonts w:ascii="Times New Roman" w:hAnsi="Times New Roman"/>
              </w:rPr>
              <w:t xml:space="preserve"> informácie v literárnom texte</w:t>
            </w:r>
            <w:r w:rsidR="00D96E0C">
              <w:rPr>
                <w:rFonts w:ascii="Times New Roman" w:hAnsi="Times New Roman"/>
              </w:rPr>
              <w:t>, interpretácia, interpretačný proces, čitateľská prestíž</w:t>
            </w:r>
            <w:r w:rsidR="00236888">
              <w:rPr>
                <w:rFonts w:ascii="Times New Roman" w:hAnsi="Times New Roman"/>
              </w:rPr>
              <w:t>, vstupné testy, analýza.</w:t>
            </w:r>
          </w:p>
          <w:p w:rsidR="00FA2643" w:rsidRDefault="00FA2643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C7D" w:rsidRDefault="00633E50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03706A" w:rsidRDefault="00F305BB" w:rsidP="0003706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7D8F" w:rsidRPr="005512C7" w:rsidRDefault="0003706A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definovať </w:t>
            </w:r>
            <w:r w:rsidR="0033728E">
              <w:rPr>
                <w:rFonts w:ascii="Times New Roman" w:hAnsi="Times New Roman"/>
              </w:rPr>
              <w:t xml:space="preserve">pojem implicitná </w:t>
            </w:r>
            <w:r w:rsidR="00C92AF4">
              <w:rPr>
                <w:rFonts w:ascii="Times New Roman" w:hAnsi="Times New Roman"/>
              </w:rPr>
              <w:t xml:space="preserve"> informácia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Default="0003706A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rozvíjaťkľúčové</w:t>
            </w:r>
            <w:proofErr w:type="spellEnd"/>
            <w:r>
              <w:rPr>
                <w:rFonts w:ascii="Times New Roman" w:hAnsi="Times New Roman"/>
              </w:rPr>
              <w:t xml:space="preserve"> kompetencie v čitateľskej gramotnosti</w:t>
            </w:r>
            <w:r w:rsidR="00B17D8F">
              <w:rPr>
                <w:rFonts w:ascii="Times New Roman" w:hAnsi="Times New Roman"/>
              </w:rPr>
              <w:t>,</w:t>
            </w:r>
          </w:p>
          <w:p w:rsidR="0003706A" w:rsidRPr="0003706A" w:rsidRDefault="005512C7" w:rsidP="000370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schopnosť efektívne pracovať s textom</w:t>
            </w:r>
            <w:r w:rsidR="0003706A">
              <w:rPr>
                <w:rFonts w:ascii="Times New Roman" w:hAnsi="Times New Roman"/>
              </w:rPr>
              <w:t>,</w:t>
            </w:r>
          </w:p>
          <w:p w:rsidR="0003706A" w:rsidRDefault="005512C7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 </w:t>
            </w:r>
            <w:r w:rsidR="0033728E"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</w:rPr>
              <w:t>vyjadrené informácie v texte</w:t>
            </w:r>
            <w:r w:rsidR="0003706A">
              <w:rPr>
                <w:rFonts w:ascii="Times New Roman" w:hAnsi="Times New Roman"/>
              </w:rPr>
              <w:t>,</w:t>
            </w:r>
          </w:p>
          <w:p w:rsidR="005512C7" w:rsidRDefault="005512C7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zostaviť vhodné </w:t>
            </w:r>
            <w:r w:rsidR="0033728E">
              <w:rPr>
                <w:rFonts w:ascii="Times New Roman" w:hAnsi="Times New Roman"/>
              </w:rPr>
              <w:t>postupy pri hľadaní implicitných</w:t>
            </w:r>
            <w:r>
              <w:rPr>
                <w:rFonts w:ascii="Times New Roman" w:hAnsi="Times New Roman"/>
              </w:rPr>
              <w:t xml:space="preserve"> informácií,</w:t>
            </w:r>
          </w:p>
          <w:p w:rsidR="0003706A" w:rsidRDefault="00FF2154" w:rsidP="00F22FDB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zvoliť vhodné metódy</w:t>
            </w:r>
            <w:r w:rsidR="0003706A">
              <w:rPr>
                <w:rFonts w:ascii="Times New Roman" w:hAnsi="Times New Roman"/>
              </w:rPr>
              <w:t xml:space="preserve"> potrebné </w:t>
            </w:r>
            <w:r>
              <w:rPr>
                <w:rFonts w:ascii="Times New Roman" w:hAnsi="Times New Roman"/>
              </w:rPr>
              <w:t xml:space="preserve">na vyhľadávanie </w:t>
            </w:r>
            <w:r w:rsidR="0033728E">
              <w:rPr>
                <w:rFonts w:ascii="Times New Roman" w:hAnsi="Times New Roman"/>
              </w:rPr>
              <w:t xml:space="preserve">implicitných </w:t>
            </w:r>
            <w:r>
              <w:rPr>
                <w:rFonts w:ascii="Times New Roman" w:hAnsi="Times New Roman"/>
              </w:rPr>
              <w:t xml:space="preserve"> informácií v texte</w:t>
            </w:r>
            <w:r w:rsidR="005512C7">
              <w:rPr>
                <w:rFonts w:ascii="Times New Roman" w:hAnsi="Times New Roman"/>
              </w:rPr>
              <w:t>...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5FE3" w:rsidRPr="009A5FE3" w:rsidRDefault="009A5FE3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FE3">
              <w:rPr>
                <w:rFonts w:ascii="Times New Roman" w:hAnsi="Times New Roman"/>
              </w:rPr>
              <w:t xml:space="preserve">V rozvoji čitateľských zručností a čitateľských stratégií </w:t>
            </w:r>
            <w:r>
              <w:rPr>
                <w:rFonts w:ascii="Times New Roman" w:hAnsi="Times New Roman"/>
              </w:rPr>
              <w:t>sa na hodinách Aktívneho čítania</w:t>
            </w:r>
            <w:r w:rsidRPr="009A5FE3">
              <w:rPr>
                <w:rFonts w:ascii="Times New Roman" w:hAnsi="Times New Roman"/>
              </w:rPr>
              <w:t xml:space="preserve"> v 7. a 8. ročníku </w:t>
            </w:r>
            <w:r>
              <w:rPr>
                <w:rFonts w:ascii="Times New Roman" w:hAnsi="Times New Roman"/>
              </w:rPr>
              <w:t xml:space="preserve">zameriavame na rozvoj troch druhov vedomostí v štyroch tematických celkoch: </w:t>
            </w:r>
          </w:p>
          <w:p w:rsidR="009A5FE3" w:rsidRPr="009A5FE3" w:rsidRDefault="009A5FE3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FE3">
              <w:rPr>
                <w:rFonts w:ascii="Times New Roman" w:hAnsi="Times New Roman"/>
              </w:rPr>
              <w:t>1. De</w:t>
            </w:r>
            <w:r w:rsidR="00D34202">
              <w:rPr>
                <w:rFonts w:ascii="Times New Roman" w:hAnsi="Times New Roman"/>
              </w:rPr>
              <w:t xml:space="preserve">klaratívne vedomosti- </w:t>
            </w:r>
            <w:r w:rsidRPr="009A5FE3">
              <w:rPr>
                <w:rFonts w:ascii="Times New Roman" w:hAnsi="Times New Roman"/>
              </w:rPr>
              <w:t xml:space="preserve"> vedieť </w:t>
            </w:r>
            <w:r>
              <w:rPr>
                <w:rFonts w:ascii="Times New Roman" w:hAnsi="Times New Roman"/>
              </w:rPr>
              <w:t>charakterizovať, definovať, porovnávať základné literárno-vedné pojmy</w:t>
            </w:r>
            <w:r w:rsidR="00D34202">
              <w:rPr>
                <w:rFonts w:ascii="Times New Roman" w:hAnsi="Times New Roman"/>
              </w:rPr>
              <w:t>.</w:t>
            </w:r>
          </w:p>
          <w:p w:rsidR="009A5FE3" w:rsidRPr="009A5FE3" w:rsidRDefault="009A5FE3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FE3">
              <w:rPr>
                <w:rFonts w:ascii="Times New Roman" w:hAnsi="Times New Roman"/>
              </w:rPr>
              <w:t xml:space="preserve">2. Procedurálne vedomosti- vedieť </w:t>
            </w:r>
            <w:r w:rsidR="00D34202">
              <w:rPr>
                <w:rFonts w:ascii="Times New Roman" w:hAnsi="Times New Roman"/>
              </w:rPr>
              <w:t>hľadať imp</w:t>
            </w:r>
            <w:r w:rsidR="00FB264E">
              <w:rPr>
                <w:rFonts w:ascii="Times New Roman" w:hAnsi="Times New Roman"/>
              </w:rPr>
              <w:t>l</w:t>
            </w:r>
            <w:r w:rsidR="00D34202">
              <w:rPr>
                <w:rFonts w:ascii="Times New Roman" w:hAnsi="Times New Roman"/>
              </w:rPr>
              <w:t>icitné a explicitné informácie v texte.</w:t>
            </w:r>
          </w:p>
          <w:p w:rsidR="009A5FE3" w:rsidRPr="009A5FE3" w:rsidRDefault="009A5FE3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FE3">
              <w:rPr>
                <w:rFonts w:ascii="Times New Roman" w:hAnsi="Times New Roman"/>
              </w:rPr>
              <w:t xml:space="preserve">3. Vedomosti dané podmienkami- vedieť kedy a prečo </w:t>
            </w:r>
            <w:r w:rsidR="00D34202">
              <w:rPr>
                <w:rFonts w:ascii="Times New Roman" w:hAnsi="Times New Roman"/>
              </w:rPr>
              <w:t>danú čitateľskú</w:t>
            </w:r>
            <w:r w:rsidRPr="009A5FE3">
              <w:rPr>
                <w:rFonts w:ascii="Times New Roman" w:hAnsi="Times New Roman"/>
              </w:rPr>
              <w:t xml:space="preserve"> zručnosť</w:t>
            </w:r>
          </w:p>
          <w:p w:rsidR="009A5FE3" w:rsidRDefault="00D34202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použiť</w:t>
            </w:r>
            <w:r w:rsidR="009A5FE3" w:rsidRPr="009A5FE3">
              <w:rPr>
                <w:rFonts w:ascii="Times New Roman" w:hAnsi="Times New Roman"/>
              </w:rPr>
              <w:t>, aby</w:t>
            </w:r>
            <w:r>
              <w:rPr>
                <w:rFonts w:ascii="Times New Roman" w:hAnsi="Times New Roman"/>
              </w:rPr>
              <w:t xml:space="preserve"> sa dosiahli stanovené ciele rozvoja čitateľskej gramotnosti.</w:t>
            </w:r>
          </w:p>
          <w:p w:rsidR="00EB3A28" w:rsidRDefault="00EB3A28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34202" w:rsidRPr="009A5FE3" w:rsidRDefault="00D34202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hodinách Aktívneho čítania žiakov oboznamujeme s materiálmi, ktoré slúžia na to, aby sa vedeli</w:t>
            </w:r>
            <w:r w:rsidR="00EB3A28">
              <w:rPr>
                <w:rFonts w:ascii="Times New Roman" w:hAnsi="Times New Roman"/>
              </w:rPr>
              <w:t xml:space="preserve"> žiaci</w:t>
            </w:r>
            <w:r>
              <w:rPr>
                <w:rFonts w:ascii="Times New Roman" w:hAnsi="Times New Roman"/>
              </w:rPr>
              <w:t xml:space="preserve"> správne rozhodnúť</w:t>
            </w:r>
            <w:r w:rsidR="00EB3A28">
              <w:rPr>
                <w:rFonts w:ascii="Times New Roman" w:hAnsi="Times New Roman"/>
              </w:rPr>
              <w:t xml:space="preserve"> pri voľbe literárneho žánru vo </w:t>
            </w:r>
            <w:proofErr w:type="spellStart"/>
            <w:r w:rsidR="00EB3A28">
              <w:rPr>
                <w:rFonts w:ascii="Times New Roman" w:hAnsi="Times New Roman"/>
              </w:rPr>
              <w:t>voľnočasových</w:t>
            </w:r>
            <w:proofErr w:type="spellEnd"/>
            <w:r w:rsidR="00EB3A28">
              <w:rPr>
                <w:rFonts w:ascii="Times New Roman" w:hAnsi="Times New Roman"/>
              </w:rPr>
              <w:t xml:space="preserve"> aktivitách, venujeme sa rozvoju výskumného čítania, pri ktorom učíme žiakov hľadať kľúčové slová, špecifické informácie. žiaci sa učia samostatne čítať s porozumením texty, ktoré si vyžadujú všeobecné pochopenie, pracujeme s extenzívnym čítaním. Venujeme sa aj intenzívnemu čítaniu, kde sa zaoberáme výberom špecifických informáciám, detailom, explicitnými a implicitnými informáciami.</w:t>
            </w:r>
          </w:p>
          <w:p w:rsidR="00F305BB" w:rsidRDefault="009A5FE3" w:rsidP="009A5F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A5FE3">
              <w:rPr>
                <w:rFonts w:ascii="Times New Roman" w:hAnsi="Times New Roman"/>
              </w:rPr>
              <w:t>čítanie.</w:t>
            </w:r>
          </w:p>
          <w:p w:rsidR="00A37829" w:rsidRPr="00A37829" w:rsidRDefault="00236888" w:rsidP="00A37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Úrovne rozvoja hore uvedených  druhov vedomostí sme zisťovali vstupným testom.</w:t>
            </w:r>
          </w:p>
          <w:p w:rsidR="00A37829" w:rsidRPr="00A37829" w:rsidRDefault="00A37829" w:rsidP="00A37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37829">
              <w:rPr>
                <w:rFonts w:ascii="Times New Roman" w:hAnsi="Times New Roman"/>
              </w:rPr>
              <w:t>Vstupným testom sme chceli u žiakov zistiť</w:t>
            </w:r>
            <w:r>
              <w:rPr>
                <w:rFonts w:ascii="Times New Roman" w:hAnsi="Times New Roman"/>
              </w:rPr>
              <w:t xml:space="preserve"> aj</w:t>
            </w:r>
            <w:r w:rsidRPr="00A37829">
              <w:rPr>
                <w:rFonts w:ascii="Times New Roman" w:hAnsi="Times New Roman"/>
              </w:rPr>
              <w:t xml:space="preserve"> úroveň porozumenia umeleckých a vecných textov. </w:t>
            </w:r>
          </w:p>
          <w:p w:rsidR="00A37829" w:rsidRDefault="00A37829" w:rsidP="00A37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37829">
              <w:rPr>
                <w:rFonts w:ascii="Times New Roman" w:hAnsi="Times New Roman"/>
              </w:rPr>
              <w:t xml:space="preserve">Žiaci  7. ročníka dosiahli v otázkach z čitateľskej gramotnosti úspešnosť 72,29%.  </w:t>
            </w:r>
          </w:p>
          <w:p w:rsidR="006450B4" w:rsidRPr="00A37829" w:rsidRDefault="00A37829" w:rsidP="00A37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37829">
              <w:rPr>
                <w:rFonts w:ascii="Times New Roman" w:hAnsi="Times New Roman"/>
              </w:rPr>
              <w:t>Žiaci 8. ročníka dosiahli v otázkach z čitateľskej gramotnosti úspešnosť 64%. Tento výsledok poukazuje na to, že žiaci v procesoch porozumenia umeleckých a vecný</w:t>
            </w:r>
            <w:r w:rsidR="006450B4">
              <w:rPr>
                <w:rFonts w:ascii="Times New Roman" w:hAnsi="Times New Roman"/>
              </w:rPr>
              <w:t>ch textov majú ešte  nedostatky.</w:t>
            </w:r>
          </w:p>
          <w:p w:rsidR="00A37829" w:rsidRPr="007B6C7D" w:rsidRDefault="00A37829" w:rsidP="00A37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37829">
              <w:rPr>
                <w:rFonts w:ascii="Times New Roman" w:hAnsi="Times New Roman"/>
              </w:rPr>
              <w:t>Analýza úspešnosti jednotlivých úloh naznačuje, ktoré témy a úrovne porozumenia textu je potrebné  u žiakov viac rozvíjať. Výsledky testov z čitateľskej gramotnosti potvrdzujú, že žiaci majú väčšie problémy v  čítaní  vecných (nesúvislých) textov ako v čítaní umeleckých (súvislých) textov.</w:t>
            </w: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0B4" w:rsidRDefault="006450B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245D7">
        <w:trPr>
          <w:trHeight w:val="4774"/>
        </w:trPr>
        <w:tc>
          <w:tcPr>
            <w:tcW w:w="9212" w:type="dxa"/>
            <w:gridSpan w:val="2"/>
          </w:tcPr>
          <w:p w:rsidR="00F305BB" w:rsidRPr="00FA2643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450B4" w:rsidRPr="006450B4" w:rsidRDefault="006450B4" w:rsidP="006450B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analýzy vstupných testov j</w:t>
            </w:r>
            <w:r w:rsidRPr="006450B4">
              <w:rPr>
                <w:rFonts w:ascii="Times New Roman" w:hAnsi="Times New Roman"/>
              </w:rPr>
              <w:t>e potrebné rozvíjať u žiakov :</w:t>
            </w:r>
          </w:p>
          <w:p w:rsidR="006450B4" w:rsidRPr="006450B4" w:rsidRDefault="006450B4" w:rsidP="006450B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50B4">
              <w:rPr>
                <w:rFonts w:ascii="Times New Roman" w:hAnsi="Times New Roman"/>
              </w:rPr>
              <w:t>•</w:t>
            </w:r>
            <w:r w:rsidRPr="006450B4">
              <w:rPr>
                <w:rFonts w:ascii="Times New Roman" w:hAnsi="Times New Roman"/>
              </w:rPr>
              <w:tab/>
              <w:t>Schopnosť dedukovať z textu (vyvodzovať informácie, myšlienky a súvislosti, ktoré nie sú explicitne formulované v texte a usudzovať na nejaký význam alebo súvislosť medzi myšlienkami textu) schopnosť použiť jednoduché diagramy a modely na podporu svojich tvrdení a vyvodenie záverov.</w:t>
            </w:r>
          </w:p>
          <w:p w:rsidR="006450B4" w:rsidRPr="006450B4" w:rsidRDefault="006450B4" w:rsidP="006450B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50B4">
              <w:rPr>
                <w:rFonts w:ascii="Times New Roman" w:hAnsi="Times New Roman"/>
              </w:rPr>
              <w:t>•</w:t>
            </w:r>
            <w:r w:rsidRPr="006450B4">
              <w:rPr>
                <w:rFonts w:ascii="Times New Roman" w:hAnsi="Times New Roman"/>
              </w:rPr>
              <w:tab/>
              <w:t>Schopnosť analyzovať riešený problém, zvoliť vhodnú stratégiu riešenia, resp. vyvodiť záver na základe poskytnutých údajov a informácií, chápať súvislosť medzi príčinou a dôsledkom.</w:t>
            </w:r>
          </w:p>
          <w:p w:rsidR="006450B4" w:rsidRPr="006450B4" w:rsidRDefault="006450B4" w:rsidP="006450B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50B4">
              <w:rPr>
                <w:rFonts w:ascii="Times New Roman" w:hAnsi="Times New Roman"/>
              </w:rPr>
              <w:t>•</w:t>
            </w:r>
            <w:r w:rsidRPr="006450B4">
              <w:rPr>
                <w:rFonts w:ascii="Times New Roman" w:hAnsi="Times New Roman"/>
              </w:rPr>
              <w:tab/>
              <w:t xml:space="preserve">Schopnosť konštruovať význam nad rámec textu, nachádzať súvislosti medzi myšlienkami textu, zhŕňať informácie a zvažovať širšie dôsledky obsahu textu. </w:t>
            </w:r>
          </w:p>
          <w:p w:rsidR="00FA2643" w:rsidRPr="007B6C7D" w:rsidRDefault="006450B4" w:rsidP="006450B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50B4">
              <w:rPr>
                <w:rFonts w:ascii="Times New Roman" w:hAnsi="Times New Roman"/>
              </w:rPr>
              <w:t>•</w:t>
            </w:r>
            <w:r w:rsidRPr="006450B4">
              <w:rPr>
                <w:rFonts w:ascii="Times New Roman" w:hAnsi="Times New Roman"/>
              </w:rPr>
              <w:tab/>
              <w:t>Schopnosť kriticky hodnotiť prečítaný text nielen z hľadiska obsahu, ale aj foriem, reflektovať štruktúry textu, jazykové prostriedky, literárne útvary, autorov osobný pohľad a štýl, vychádzať pri hodnotení textu zo svojho chápania sveta a predchádzajúcich čitateľských skúseností.</w:t>
            </w:r>
          </w:p>
          <w:p w:rsidR="006450B4" w:rsidRPr="006450B4" w:rsidRDefault="006450B4" w:rsidP="006450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vyučovacích hodinách Aktívneho čítania budeme využívať</w:t>
            </w:r>
            <w:r w:rsidRPr="006450B4">
              <w:rPr>
                <w:rFonts w:ascii="Times New Roman" w:hAnsi="Times New Roman"/>
              </w:rPr>
              <w:t xml:space="preserve"> </w:t>
            </w:r>
            <w:proofErr w:type="spellStart"/>
            <w:r w:rsidRPr="006450B4">
              <w:rPr>
                <w:rFonts w:ascii="Times New Roman" w:hAnsi="Times New Roman"/>
              </w:rPr>
              <w:t>brainstorming</w:t>
            </w:r>
            <w:proofErr w:type="spellEnd"/>
            <w:r w:rsidRPr="006450B4">
              <w:rPr>
                <w:rFonts w:ascii="Times New Roman" w:hAnsi="Times New Roman"/>
              </w:rPr>
              <w:t xml:space="preserve">, </w:t>
            </w:r>
            <w:proofErr w:type="spellStart"/>
            <w:r w:rsidRPr="006450B4">
              <w:rPr>
                <w:rFonts w:ascii="Times New Roman" w:hAnsi="Times New Roman"/>
              </w:rPr>
              <w:t>brainwriting</w:t>
            </w:r>
            <w:proofErr w:type="spellEnd"/>
            <w:r w:rsidRPr="006450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moderné metódy na rozvoj</w:t>
            </w:r>
            <w:r w:rsidRPr="006450B4">
              <w:rPr>
                <w:rFonts w:ascii="Times New Roman" w:hAnsi="Times New Roman"/>
              </w:rPr>
              <w:t xml:space="preserve"> čítani</w:t>
            </w:r>
            <w:r>
              <w:rPr>
                <w:rFonts w:ascii="Times New Roman" w:hAnsi="Times New Roman"/>
              </w:rPr>
              <w:t>a</w:t>
            </w:r>
            <w:r w:rsidRPr="006450B4">
              <w:rPr>
                <w:rFonts w:ascii="Times New Roman" w:hAnsi="Times New Roman"/>
              </w:rPr>
              <w:t xml:space="preserve"> s porozumením, asociačné metódy, projektové metódy......</w:t>
            </w:r>
          </w:p>
          <w:p w:rsidR="006450B4" w:rsidRPr="006450B4" w:rsidRDefault="006450B4" w:rsidP="006450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Budeme u žiakov formovať </w:t>
            </w:r>
            <w:r w:rsidRPr="006450B4">
              <w:rPr>
                <w:rFonts w:ascii="Times New Roman" w:hAnsi="Times New Roman"/>
              </w:rPr>
              <w:t>dodržiavanie pravidiel komu</w:t>
            </w:r>
            <w:r>
              <w:rPr>
                <w:rFonts w:ascii="Times New Roman" w:hAnsi="Times New Roman"/>
              </w:rPr>
              <w:t>nikácie, kultivovanosť prejavu a čitateľskú prestíž.</w:t>
            </w:r>
          </w:p>
          <w:p w:rsidR="006450B4" w:rsidRPr="006450B4" w:rsidRDefault="006450B4" w:rsidP="006450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A2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49528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Andrea </w:t>
            </w:r>
            <w:proofErr w:type="spellStart"/>
            <w:r>
              <w:rPr>
                <w:rFonts w:ascii="Times New Roman" w:hAnsi="Times New Roman"/>
              </w:rPr>
              <w:t>Petriková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49528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17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851786">
              <w:rPr>
                <w:rFonts w:ascii="Times New Roman" w:hAnsi="Times New Roman"/>
              </w:rPr>
              <w:t>.</w:t>
            </w:r>
            <w:r w:rsidR="0048256F" w:rsidRPr="00C915DB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B70FD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B70FD" w:rsidP="007B6C7D">
            <w:pPr>
              <w:tabs>
                <w:tab w:val="left" w:pos="1114"/>
              </w:tabs>
              <w:spacing w:after="0" w:line="240" w:lineRule="auto"/>
            </w:pPr>
            <w:r>
              <w:t>10.04.2019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C5199" w:rsidRDefault="00DC519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B71096" w:rsidRDefault="00887CF7" w:rsidP="001745A4">
            <w:pPr>
              <w:rPr>
                <w:rFonts w:cs="Calibri"/>
                <w:spacing w:val="20"/>
                <w:sz w:val="20"/>
                <w:szCs w:val="20"/>
              </w:rPr>
            </w:pPr>
            <w:r w:rsidRPr="00B71096">
              <w:rPr>
                <w:rFonts w:cs="Calibri"/>
                <w:sz w:val="20"/>
                <w:szCs w:val="20"/>
              </w:rPr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B71096" w:rsidRDefault="00887CF7" w:rsidP="001745A4">
            <w:pPr>
              <w:rPr>
                <w:rFonts w:cs="Calibri"/>
                <w:spacing w:val="20"/>
                <w:sz w:val="20"/>
                <w:szCs w:val="20"/>
              </w:rPr>
            </w:pPr>
            <w:r w:rsidRPr="00B71096">
              <w:rPr>
                <w:rFonts w:cs="Calibr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B71096" w:rsidRDefault="00887CF7" w:rsidP="001745A4">
            <w:pPr>
              <w:rPr>
                <w:rFonts w:cs="Calibri"/>
                <w:spacing w:val="20"/>
                <w:sz w:val="20"/>
                <w:szCs w:val="20"/>
              </w:rPr>
            </w:pPr>
            <w:r w:rsidRPr="00B71096">
              <w:rPr>
                <w:rFonts w:cs="Calibri"/>
                <w:sz w:val="20"/>
                <w:szCs w:val="20"/>
              </w:rPr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B71096" w:rsidRDefault="00887CF7" w:rsidP="001745A4">
            <w:pPr>
              <w:rPr>
                <w:rFonts w:cs="Calibri"/>
                <w:spacing w:val="20"/>
                <w:sz w:val="20"/>
                <w:szCs w:val="20"/>
              </w:rPr>
            </w:pPr>
            <w:r w:rsidRPr="00B71096">
              <w:rPr>
                <w:rFonts w:cs="Calibri"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0C6451" w:rsidRDefault="00F305BB" w:rsidP="00887CF7">
      <w:r>
        <w:t xml:space="preserve">Miesto konania </w:t>
      </w:r>
      <w:proofErr w:type="spellStart"/>
      <w:r>
        <w:t>stretnutia:</w:t>
      </w:r>
      <w:r w:rsidR="00887CF7" w:rsidRPr="0037650D">
        <w:t>Základná</w:t>
      </w:r>
      <w:proofErr w:type="spellEnd"/>
      <w:r w:rsidR="00887CF7" w:rsidRPr="0037650D">
        <w:t xml:space="preserve"> škola, M.R. Štefánika 910/51, 07501 Trebišov</w:t>
      </w:r>
      <w:r w:rsidR="00887CF7">
        <w:t xml:space="preserve">, </w:t>
      </w:r>
    </w:p>
    <w:p w:rsidR="00887CF7" w:rsidRDefault="00887CF7" w:rsidP="00887CF7">
      <w:r>
        <w:t xml:space="preserve">miestnosť </w:t>
      </w:r>
      <w:r w:rsidR="000C6451">
        <w:t xml:space="preserve">              </w:t>
      </w:r>
      <w:r>
        <w:t>č. 85</w:t>
      </w:r>
    </w:p>
    <w:p w:rsidR="00F305BB" w:rsidRDefault="00F305BB" w:rsidP="00D0796E">
      <w:r>
        <w:t>Dátum konania stretnutia:</w:t>
      </w:r>
      <w:r w:rsidR="000C6451">
        <w:t xml:space="preserve">              </w:t>
      </w:r>
      <w:r w:rsidR="00887CF7" w:rsidRPr="004C0695">
        <w:rPr>
          <w:b/>
        </w:rPr>
        <w:t>10.04.2019</w:t>
      </w:r>
    </w:p>
    <w:p w:rsidR="00F305BB" w:rsidRDefault="004C0695" w:rsidP="00D0796E">
      <w:r>
        <w:t xml:space="preserve">Trvanie stretnutia:  </w:t>
      </w:r>
      <w:r w:rsidR="00F305BB">
        <w:t>od</w:t>
      </w:r>
      <w:r w:rsidR="00887CF7">
        <w:t xml:space="preserve">13:30 </w:t>
      </w:r>
      <w:r w:rsidR="00F305BB">
        <w:t>hod</w:t>
      </w:r>
      <w:r w:rsidR="00887CF7">
        <w:t>.</w:t>
      </w:r>
      <w:r w:rsidR="00F305BB">
        <w:tab/>
        <w:t>do</w:t>
      </w:r>
      <w:r w:rsidR="00887CF7">
        <w:t>15:30</w:t>
      </w:r>
      <w:r w:rsidR="00F305BB">
        <w:t>hod</w:t>
      </w:r>
      <w:r w:rsidR="00887CF7">
        <w:t>.</w:t>
      </w:r>
      <w:r w:rsidR="00F305BB">
        <w:tab/>
      </w:r>
    </w:p>
    <w:p w:rsidR="00887CF7" w:rsidRDefault="00887CF7" w:rsidP="00D0796E"/>
    <w:p w:rsidR="00F305BB" w:rsidRDefault="00F305BB" w:rsidP="00D0796E">
      <w:pPr>
        <w:rPr>
          <w:b/>
        </w:rPr>
      </w:pPr>
      <w:r>
        <w:t>Zoznam účastníkov/členov pedagogického klubu:</w:t>
      </w:r>
      <w:r w:rsidR="000C6451">
        <w:t xml:space="preserve"> </w:t>
      </w:r>
      <w:r w:rsidR="00887CF7" w:rsidRPr="00887CF7">
        <w:rPr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887CF7" w:rsidRPr="007B6C7D" w:rsidTr="0000510A">
        <w:trPr>
          <w:trHeight w:val="337"/>
        </w:trPr>
        <w:tc>
          <w:tcPr>
            <w:tcW w:w="544" w:type="dxa"/>
          </w:tcPr>
          <w:p w:rsidR="00887CF7" w:rsidRPr="007B6C7D" w:rsidRDefault="00851786" w:rsidP="000C6451">
            <w:pPr>
              <w:spacing w:after="0"/>
            </w:pPr>
            <w:r>
              <w:t>1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Mgr. Zuzana </w:t>
            </w:r>
            <w:proofErr w:type="spellStart"/>
            <w:r>
              <w:t>Kaľ</w:t>
            </w:r>
            <w:bookmarkStart w:id="0" w:name="_GoBack"/>
            <w:bookmarkEnd w:id="0"/>
            <w:r>
              <w:t>avská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37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2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37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3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37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4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55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5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55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6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55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7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E744AE" w:rsidRDefault="00E744AE" w:rsidP="000C645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55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8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887CF7" w:rsidRPr="007B6C7D" w:rsidTr="0000510A">
        <w:trPr>
          <w:trHeight w:val="355"/>
        </w:trPr>
        <w:tc>
          <w:tcPr>
            <w:tcW w:w="544" w:type="dxa"/>
          </w:tcPr>
          <w:p w:rsidR="00887CF7" w:rsidRPr="007B6C7D" w:rsidRDefault="00887CF7" w:rsidP="000C6451">
            <w:pPr>
              <w:spacing w:after="0"/>
            </w:pPr>
            <w:r>
              <w:t>9</w:t>
            </w:r>
          </w:p>
        </w:tc>
        <w:tc>
          <w:tcPr>
            <w:tcW w:w="3935" w:type="dxa"/>
          </w:tcPr>
          <w:p w:rsidR="00887CF7" w:rsidRPr="007B6C7D" w:rsidRDefault="00887CF7" w:rsidP="000C645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887CF7" w:rsidRPr="007B6C7D" w:rsidRDefault="00887CF7" w:rsidP="000C6451">
            <w:pPr>
              <w:spacing w:after="0"/>
            </w:pPr>
          </w:p>
        </w:tc>
        <w:tc>
          <w:tcPr>
            <w:tcW w:w="2306" w:type="dxa"/>
          </w:tcPr>
          <w:p w:rsidR="00887CF7" w:rsidRPr="007B6C7D" w:rsidRDefault="00E744AE" w:rsidP="000C645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0C645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0C" w:rsidRDefault="00134B0C" w:rsidP="00CF35D8">
      <w:pPr>
        <w:spacing w:after="0" w:line="240" w:lineRule="auto"/>
      </w:pPr>
      <w:r>
        <w:separator/>
      </w:r>
    </w:p>
  </w:endnote>
  <w:endnote w:type="continuationSeparator" w:id="1">
    <w:p w:rsidR="00134B0C" w:rsidRDefault="00134B0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0C" w:rsidRDefault="00134B0C" w:rsidP="00CF35D8">
      <w:pPr>
        <w:spacing w:after="0" w:line="240" w:lineRule="auto"/>
      </w:pPr>
      <w:r>
        <w:separator/>
      </w:r>
    </w:p>
  </w:footnote>
  <w:footnote w:type="continuationSeparator" w:id="1">
    <w:p w:rsidR="00134B0C" w:rsidRDefault="00134B0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32B26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4BC6"/>
    <w:multiLevelType w:val="hybridMultilevel"/>
    <w:tmpl w:val="EC1474A4"/>
    <w:lvl w:ilvl="0" w:tplc="0CFA0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689D0DAF"/>
    <w:multiLevelType w:val="hybridMultilevel"/>
    <w:tmpl w:val="D0DCFD3A"/>
    <w:lvl w:ilvl="0" w:tplc="22A68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1681"/>
    <w:rsid w:val="00033297"/>
    <w:rsid w:val="0003706A"/>
    <w:rsid w:val="00053B89"/>
    <w:rsid w:val="00053F2A"/>
    <w:rsid w:val="000B4DAC"/>
    <w:rsid w:val="000C6451"/>
    <w:rsid w:val="000E6FBF"/>
    <w:rsid w:val="000F127B"/>
    <w:rsid w:val="00122D71"/>
    <w:rsid w:val="00123141"/>
    <w:rsid w:val="00134B0C"/>
    <w:rsid w:val="00137050"/>
    <w:rsid w:val="00151F6C"/>
    <w:rsid w:val="001544C0"/>
    <w:rsid w:val="001620FF"/>
    <w:rsid w:val="001745A4"/>
    <w:rsid w:val="00195BD6"/>
    <w:rsid w:val="001A5EA2"/>
    <w:rsid w:val="001B69AF"/>
    <w:rsid w:val="001B70FD"/>
    <w:rsid w:val="001D0B57"/>
    <w:rsid w:val="001D498E"/>
    <w:rsid w:val="00203036"/>
    <w:rsid w:val="0022061B"/>
    <w:rsid w:val="00225CD9"/>
    <w:rsid w:val="00236888"/>
    <w:rsid w:val="002B443F"/>
    <w:rsid w:val="002D7F9B"/>
    <w:rsid w:val="002D7FC6"/>
    <w:rsid w:val="002E3F1A"/>
    <w:rsid w:val="0033728E"/>
    <w:rsid w:val="0034733D"/>
    <w:rsid w:val="003700F7"/>
    <w:rsid w:val="0037650D"/>
    <w:rsid w:val="00383050"/>
    <w:rsid w:val="00392805"/>
    <w:rsid w:val="003B003D"/>
    <w:rsid w:val="003C260E"/>
    <w:rsid w:val="003E170F"/>
    <w:rsid w:val="003F10E0"/>
    <w:rsid w:val="004057A5"/>
    <w:rsid w:val="00423CC3"/>
    <w:rsid w:val="00446402"/>
    <w:rsid w:val="0048256F"/>
    <w:rsid w:val="0049528C"/>
    <w:rsid w:val="004C05D7"/>
    <w:rsid w:val="004C0695"/>
    <w:rsid w:val="004F368A"/>
    <w:rsid w:val="00507CF5"/>
    <w:rsid w:val="005219BE"/>
    <w:rsid w:val="005361EC"/>
    <w:rsid w:val="00541786"/>
    <w:rsid w:val="005424B9"/>
    <w:rsid w:val="00544B2B"/>
    <w:rsid w:val="00547807"/>
    <w:rsid w:val="005512C7"/>
    <w:rsid w:val="0055263C"/>
    <w:rsid w:val="00583AF0"/>
    <w:rsid w:val="0058712F"/>
    <w:rsid w:val="00592E27"/>
    <w:rsid w:val="005F7E0C"/>
    <w:rsid w:val="00633E50"/>
    <w:rsid w:val="006377DA"/>
    <w:rsid w:val="006450B4"/>
    <w:rsid w:val="006A3977"/>
    <w:rsid w:val="006B6CBE"/>
    <w:rsid w:val="006E77C5"/>
    <w:rsid w:val="00707D60"/>
    <w:rsid w:val="00723198"/>
    <w:rsid w:val="007A5170"/>
    <w:rsid w:val="007A6CFA"/>
    <w:rsid w:val="007B6C7D"/>
    <w:rsid w:val="008058B8"/>
    <w:rsid w:val="00817C87"/>
    <w:rsid w:val="00851786"/>
    <w:rsid w:val="008721DB"/>
    <w:rsid w:val="00887CF7"/>
    <w:rsid w:val="008C3B1D"/>
    <w:rsid w:val="008C3C41"/>
    <w:rsid w:val="008F37EF"/>
    <w:rsid w:val="00906B6E"/>
    <w:rsid w:val="00910287"/>
    <w:rsid w:val="00910421"/>
    <w:rsid w:val="00931A77"/>
    <w:rsid w:val="009A4820"/>
    <w:rsid w:val="009A5FE3"/>
    <w:rsid w:val="009C3018"/>
    <w:rsid w:val="009C4DCA"/>
    <w:rsid w:val="009F4F76"/>
    <w:rsid w:val="00A37829"/>
    <w:rsid w:val="00A466FB"/>
    <w:rsid w:val="00A71E3A"/>
    <w:rsid w:val="00A9043F"/>
    <w:rsid w:val="00AB111C"/>
    <w:rsid w:val="00AF0067"/>
    <w:rsid w:val="00AF3410"/>
    <w:rsid w:val="00AF5989"/>
    <w:rsid w:val="00B17D8F"/>
    <w:rsid w:val="00B245C4"/>
    <w:rsid w:val="00B440DB"/>
    <w:rsid w:val="00B71096"/>
    <w:rsid w:val="00B71530"/>
    <w:rsid w:val="00BB5601"/>
    <w:rsid w:val="00BF2F35"/>
    <w:rsid w:val="00BF4683"/>
    <w:rsid w:val="00BF4792"/>
    <w:rsid w:val="00C065E1"/>
    <w:rsid w:val="00C245D7"/>
    <w:rsid w:val="00C27EFD"/>
    <w:rsid w:val="00C44797"/>
    <w:rsid w:val="00C915DB"/>
    <w:rsid w:val="00C92AF4"/>
    <w:rsid w:val="00CA0B4D"/>
    <w:rsid w:val="00CA771E"/>
    <w:rsid w:val="00CC3312"/>
    <w:rsid w:val="00CD7D64"/>
    <w:rsid w:val="00CF35D8"/>
    <w:rsid w:val="00D0796E"/>
    <w:rsid w:val="00D34202"/>
    <w:rsid w:val="00D5619C"/>
    <w:rsid w:val="00D84AB2"/>
    <w:rsid w:val="00D8503C"/>
    <w:rsid w:val="00D96E0C"/>
    <w:rsid w:val="00DA6ABC"/>
    <w:rsid w:val="00DC5199"/>
    <w:rsid w:val="00DD1AA4"/>
    <w:rsid w:val="00E2206B"/>
    <w:rsid w:val="00E36C97"/>
    <w:rsid w:val="00E744AE"/>
    <w:rsid w:val="00E926D8"/>
    <w:rsid w:val="00EB3A28"/>
    <w:rsid w:val="00EC5730"/>
    <w:rsid w:val="00ED6DA2"/>
    <w:rsid w:val="00EF264B"/>
    <w:rsid w:val="00EF2C51"/>
    <w:rsid w:val="00F22FDB"/>
    <w:rsid w:val="00F305BB"/>
    <w:rsid w:val="00F36E61"/>
    <w:rsid w:val="00F61779"/>
    <w:rsid w:val="00F935CE"/>
    <w:rsid w:val="00F95833"/>
    <w:rsid w:val="00FA2643"/>
    <w:rsid w:val="00FB264E"/>
    <w:rsid w:val="00FD3420"/>
    <w:rsid w:val="00FE050F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867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39</cp:revision>
  <cp:lastPrinted>2017-07-21T06:21:00Z</cp:lastPrinted>
  <dcterms:created xsi:type="dcterms:W3CDTF">2019-03-13T14:11:00Z</dcterms:created>
  <dcterms:modified xsi:type="dcterms:W3CDTF">2019-05-07T11:47:00Z</dcterms:modified>
</cp:coreProperties>
</file>